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CF97" w14:textId="77777777" w:rsidR="004E10FF" w:rsidRPr="00AE4856" w:rsidRDefault="004E10FF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Coordonnées, adresse du médecin traitant</w:t>
      </w:r>
    </w:p>
    <w:p w14:paraId="1244DA94" w14:textId="77777777" w:rsidR="004E10FF" w:rsidRPr="00AE4856" w:rsidRDefault="004E10FF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822A04" w14:textId="77777777" w:rsidR="00F078B8" w:rsidRPr="00AE4856" w:rsidRDefault="00F078B8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A92DBE1" w14:textId="77777777" w:rsidR="004E10FF" w:rsidRPr="00AE4856" w:rsidRDefault="004E10FF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F0A2D76" w14:textId="6ECA42AC" w:rsidR="004E10FF" w:rsidRPr="00AE4856" w:rsidRDefault="004E10FF" w:rsidP="004E10FF">
      <w:pPr>
        <w:pStyle w:val="PlainText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/>
          <w:b/>
          <w:bCs/>
          <w:sz w:val="20"/>
        </w:rPr>
        <w:t>Demande de garantie de prise en charge du traitement adjuvant par l’</w:t>
      </w:r>
      <w:proofErr w:type="spellStart"/>
      <w:r>
        <w:rPr>
          <w:rFonts w:asciiTheme="minorHAnsi" w:hAnsiTheme="minorHAnsi"/>
          <w:b/>
          <w:bCs/>
          <w:sz w:val="20"/>
        </w:rPr>
        <w:t>osimertinib</w:t>
      </w:r>
      <w:proofErr w:type="spellEnd"/>
      <w:r>
        <w:rPr>
          <w:rFonts w:asciiTheme="minorHAnsi" w:hAnsiTheme="minorHAnsi"/>
          <w:b/>
          <w:bCs/>
          <w:sz w:val="20"/>
        </w:rPr>
        <w:t xml:space="preserve"> (</w:t>
      </w:r>
      <w:proofErr w:type="spellStart"/>
      <w:r>
        <w:rPr>
          <w:rFonts w:asciiTheme="minorHAnsi" w:hAnsiTheme="minorHAnsi"/>
          <w:b/>
          <w:bCs/>
          <w:sz w:val="20"/>
        </w:rPr>
        <w:t>Tagrisso</w:t>
      </w:r>
      <w:proofErr w:type="spellEnd"/>
      <w:r>
        <w:rPr>
          <w:rFonts w:asciiTheme="minorHAnsi" w:hAnsiTheme="minorHAnsi"/>
          <w:b/>
          <w:bCs/>
          <w:sz w:val="20"/>
        </w:rPr>
        <w:t>®) d</w:t>
      </w:r>
      <w:r w:rsidR="00CD4E3A">
        <w:rPr>
          <w:rFonts w:asciiTheme="minorHAnsi" w:hAnsiTheme="minorHAnsi"/>
          <w:b/>
          <w:bCs/>
          <w:sz w:val="20"/>
        </w:rPr>
        <w:t>’un</w:t>
      </w:r>
      <w:r>
        <w:rPr>
          <w:rFonts w:asciiTheme="minorHAnsi" w:hAnsiTheme="minorHAnsi"/>
          <w:b/>
          <w:bCs/>
          <w:sz w:val="20"/>
        </w:rPr>
        <w:t xml:space="preserve"> </w:t>
      </w:r>
      <w:r w:rsidR="00CD4E3A" w:rsidRPr="00CD4E3A">
        <w:rPr>
          <w:rFonts w:asciiTheme="minorHAnsi" w:hAnsiTheme="minorHAnsi"/>
          <w:b/>
          <w:bCs/>
          <w:sz w:val="20"/>
        </w:rPr>
        <w:t xml:space="preserve">cancer bronchique non à petites cellules </w:t>
      </w:r>
      <w:r>
        <w:rPr>
          <w:rFonts w:asciiTheme="minorHAnsi" w:hAnsiTheme="minorHAnsi"/>
          <w:b/>
          <w:bCs/>
          <w:sz w:val="20"/>
        </w:rPr>
        <w:t>de stade</w:t>
      </w:r>
      <w:r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i/>
          <w:sz w:val="20"/>
          <w:highlight w:val="cyan"/>
        </w:rPr>
        <w:t>(indiquez le stade correspondant du patient)</w:t>
      </w:r>
      <w:r w:rsidR="00CD4E3A" w:rsidRPr="00CD4E3A">
        <w:rPr>
          <w:rFonts w:asciiTheme="minorHAnsi" w:hAnsiTheme="minorHAnsi"/>
          <w:b/>
          <w:bCs/>
          <w:sz w:val="20"/>
        </w:rPr>
        <w:t xml:space="preserve"> </w:t>
      </w:r>
      <w:r w:rsidR="00CD4E3A">
        <w:rPr>
          <w:rFonts w:asciiTheme="minorHAnsi" w:hAnsiTheme="minorHAnsi"/>
          <w:b/>
          <w:bCs/>
          <w:sz w:val="20"/>
        </w:rPr>
        <w:t>avec EGFR muté</w:t>
      </w:r>
    </w:p>
    <w:p w14:paraId="747F0944" w14:textId="77777777" w:rsidR="004E10FF" w:rsidRPr="00AE4856" w:rsidRDefault="004E10FF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936A37" w14:textId="5B583BC9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Initiales du patient, date de naissance</w:t>
      </w:r>
    </w:p>
    <w:p w14:paraId="5A5EAB34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DAC0F4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F295363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Mesdames, Messieurs,</w:t>
      </w:r>
    </w:p>
    <w:p w14:paraId="1F70FBD2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796EB2" w14:textId="43EB1693" w:rsidR="004E10FF" w:rsidRPr="00AE4856" w:rsidRDefault="00AB473E" w:rsidP="004E10FF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Un </w:t>
      </w:r>
      <w:r w:rsidR="00CD4E3A" w:rsidRPr="00CD4E3A">
        <w:rPr>
          <w:rFonts w:asciiTheme="minorHAnsi" w:hAnsiTheme="minorHAnsi"/>
        </w:rPr>
        <w:t xml:space="preserve">cancer bronchique non à petites cellules (CBNPC) </w:t>
      </w:r>
      <w:r>
        <w:rPr>
          <w:rFonts w:asciiTheme="minorHAnsi" w:hAnsiTheme="minorHAnsi"/>
        </w:rPr>
        <w:t>avec EGFR</w:t>
      </w:r>
      <w:r w:rsidR="00CD4E3A">
        <w:rPr>
          <w:rFonts w:asciiTheme="minorHAnsi" w:hAnsiTheme="minorHAnsi"/>
        </w:rPr>
        <w:t xml:space="preserve"> muté</w:t>
      </w:r>
      <w:r>
        <w:rPr>
          <w:rFonts w:asciiTheme="minorHAnsi" w:hAnsiTheme="minorHAnsi"/>
        </w:rPr>
        <w:t xml:space="preserve"> de stade </w:t>
      </w:r>
      <w:r>
        <w:rPr>
          <w:rFonts w:asciiTheme="minorHAnsi" w:hAnsiTheme="minorHAnsi"/>
          <w:i/>
          <w:highlight w:val="cyan"/>
        </w:rPr>
        <w:t>(indiquez le stade)</w:t>
      </w:r>
      <w:r>
        <w:rPr>
          <w:rFonts w:asciiTheme="minorHAnsi" w:hAnsiTheme="minorHAnsi"/>
        </w:rPr>
        <w:t xml:space="preserve"> a été diagnostiqué chez Madame/</w:t>
      </w:r>
      <w:proofErr w:type="gramStart"/>
      <w:r>
        <w:rPr>
          <w:rFonts w:asciiTheme="minorHAnsi" w:hAnsiTheme="minorHAnsi"/>
        </w:rPr>
        <w:t>Monsieur.…</w:t>
      </w:r>
      <w:proofErr w:type="gramEnd"/>
      <w:r>
        <w:rPr>
          <w:rFonts w:asciiTheme="minorHAnsi" w:hAnsiTheme="minorHAnsi"/>
        </w:rPr>
        <w:t xml:space="preserve">……….. </w:t>
      </w:r>
      <w:r>
        <w:rPr>
          <w:rFonts w:asciiTheme="minorHAnsi" w:hAnsiTheme="minorHAnsi"/>
          <w:i/>
          <w:highlight w:val="cyan"/>
        </w:rPr>
        <w:t>(Donnez des détails concernant la maladie du patient)</w:t>
      </w:r>
    </w:p>
    <w:p w14:paraId="69988079" w14:textId="77777777" w:rsidR="00500339" w:rsidRPr="00297740" w:rsidRDefault="00500339" w:rsidP="00500339">
      <w:pPr>
        <w:spacing w:line="276" w:lineRule="auto"/>
        <w:rPr>
          <w:rFonts w:asciiTheme="minorHAnsi" w:hAnsiTheme="minorHAnsi" w:cstheme="minorHAnsi"/>
          <w:szCs w:val="20"/>
        </w:rPr>
      </w:pPr>
    </w:p>
    <w:p w14:paraId="104C775E" w14:textId="219C03A8" w:rsidR="00500339" w:rsidRPr="005D3C63" w:rsidRDefault="00E17322" w:rsidP="00254803">
      <w:pPr>
        <w:spacing w:after="12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D’après les données de l’étude ADAURA</w:t>
      </w:r>
      <w:r w:rsidRPr="00297740">
        <w:rPr>
          <w:rFonts w:asciiTheme="minorHAnsi" w:hAnsiTheme="minorHAnsi"/>
          <w:vertAlign w:val="superscript"/>
        </w:rPr>
        <w:t>1</w:t>
      </w:r>
      <w:r w:rsidR="00172639">
        <w:rPr>
          <w:rFonts w:asciiTheme="minorHAnsi" w:hAnsiTheme="minorHAnsi"/>
          <w:vertAlign w:val="superscript"/>
        </w:rPr>
        <w:t>,</w:t>
      </w:r>
      <w:r w:rsidR="0038186C">
        <w:rPr>
          <w:rFonts w:asciiTheme="minorHAnsi" w:hAnsiTheme="minorHAnsi"/>
          <w:vertAlign w:val="superscript"/>
        </w:rPr>
        <w:t>2,3</w:t>
      </w:r>
      <w:r>
        <w:rPr>
          <w:rFonts w:asciiTheme="minorHAnsi" w:hAnsiTheme="minorHAnsi"/>
        </w:rPr>
        <w:t>, un traitement adjuvant par l’</w:t>
      </w:r>
      <w:proofErr w:type="spellStart"/>
      <w:r>
        <w:rPr>
          <w:rFonts w:asciiTheme="minorHAnsi" w:hAnsiTheme="minorHAnsi"/>
        </w:rPr>
        <w:t>osimertinib</w:t>
      </w:r>
      <w:proofErr w:type="spellEnd"/>
      <w:r>
        <w:rPr>
          <w:rFonts w:asciiTheme="minorHAnsi" w:hAnsiTheme="minorHAnsi"/>
        </w:rPr>
        <w:t xml:space="preserve">, un inhibiteur de la tyrosine </w:t>
      </w:r>
      <w:r w:rsidRPr="0054016F">
        <w:rPr>
          <w:rFonts w:asciiTheme="minorHAnsi" w:hAnsiTheme="minorHAnsi"/>
          <w:szCs w:val="20"/>
        </w:rPr>
        <w:t>kinase (ITK) de 3</w:t>
      </w:r>
      <w:r w:rsidR="00CD4E3A" w:rsidRPr="0054016F">
        <w:rPr>
          <w:rFonts w:asciiTheme="minorHAnsi" w:hAnsiTheme="minorHAnsi"/>
          <w:szCs w:val="20"/>
          <w:vertAlign w:val="superscript"/>
        </w:rPr>
        <w:t>ème</w:t>
      </w:r>
      <w:r w:rsidRPr="0054016F">
        <w:rPr>
          <w:rFonts w:asciiTheme="minorHAnsi" w:hAnsiTheme="minorHAnsi"/>
          <w:szCs w:val="20"/>
        </w:rPr>
        <w:t xml:space="preserve"> génération ciblant l’EGFR, est indiqué dans ce contexte.</w:t>
      </w:r>
    </w:p>
    <w:p w14:paraId="608C0CDD" w14:textId="6A9A580F" w:rsidR="00500339" w:rsidRPr="005D3C63" w:rsidRDefault="00CD4E3A" w:rsidP="00500339">
      <w:pPr>
        <w:spacing w:line="276" w:lineRule="auto"/>
        <w:rPr>
          <w:rFonts w:asciiTheme="minorHAnsi" w:hAnsiTheme="minorHAnsi" w:cstheme="minorHAnsi"/>
          <w:szCs w:val="20"/>
        </w:rPr>
      </w:pPr>
      <w:r w:rsidRPr="0054016F">
        <w:rPr>
          <w:rFonts w:asciiTheme="minorHAnsi" w:hAnsiTheme="minorHAnsi"/>
          <w:szCs w:val="20"/>
        </w:rPr>
        <w:t xml:space="preserve">Dans l’étude ADAURA, une étude de phase III randomisée et contrôlée contre placebo, </w:t>
      </w:r>
      <w:r w:rsidR="00500339" w:rsidRPr="0054016F">
        <w:rPr>
          <w:rFonts w:asciiTheme="minorHAnsi" w:hAnsiTheme="minorHAnsi"/>
          <w:szCs w:val="20"/>
        </w:rPr>
        <w:t xml:space="preserve">682 patients atteints de cancer bronchique non à petites cellules </w:t>
      </w:r>
      <w:r w:rsidRPr="0054016F">
        <w:rPr>
          <w:rFonts w:asciiTheme="minorHAnsi" w:hAnsiTheme="minorHAnsi"/>
          <w:szCs w:val="20"/>
        </w:rPr>
        <w:t xml:space="preserve">complètement réséqué </w:t>
      </w:r>
      <w:r w:rsidR="00500339" w:rsidRPr="0054016F">
        <w:rPr>
          <w:rFonts w:asciiTheme="minorHAnsi" w:hAnsiTheme="minorHAnsi"/>
          <w:szCs w:val="20"/>
        </w:rPr>
        <w:t>de stade IB, II et IIIA (classé selon la 7</w:t>
      </w:r>
      <w:r w:rsidR="00500339" w:rsidRPr="0054016F">
        <w:rPr>
          <w:rFonts w:asciiTheme="minorHAnsi" w:hAnsiTheme="minorHAnsi"/>
          <w:szCs w:val="20"/>
          <w:vertAlign w:val="superscript"/>
        </w:rPr>
        <w:t>e</w:t>
      </w:r>
      <w:r w:rsidR="00500339" w:rsidRPr="0054016F">
        <w:rPr>
          <w:rFonts w:asciiTheme="minorHAnsi" w:hAnsiTheme="minorHAnsi"/>
          <w:szCs w:val="20"/>
        </w:rPr>
        <w:t> édition de la classification AJCC), avec ou sans chimiothérapie adjuvante préalable ont été inclus.</w:t>
      </w:r>
    </w:p>
    <w:p w14:paraId="500A9AB7" w14:textId="77777777" w:rsidR="00B95089" w:rsidRDefault="00A54ADF" w:rsidP="00FD73B2">
      <w:pPr>
        <w:spacing w:line="276" w:lineRule="auto"/>
        <w:rPr>
          <w:rFonts w:asciiTheme="minorHAnsi" w:hAnsiTheme="minorHAnsi"/>
          <w:szCs w:val="20"/>
        </w:rPr>
      </w:pPr>
      <w:r w:rsidRPr="0054016F">
        <w:rPr>
          <w:rFonts w:asciiTheme="minorHAnsi" w:hAnsiTheme="minorHAnsi"/>
          <w:szCs w:val="20"/>
        </w:rPr>
        <w:t>Le critère principal d’évaluation était la survie sans maladie (</w:t>
      </w:r>
      <w:proofErr w:type="spellStart"/>
      <w:r w:rsidR="00CD4E3A" w:rsidRPr="0054016F">
        <w:rPr>
          <w:rFonts w:asciiTheme="minorHAnsi" w:hAnsiTheme="minorHAnsi"/>
          <w:szCs w:val="20"/>
        </w:rPr>
        <w:t>Disease</w:t>
      </w:r>
      <w:proofErr w:type="spellEnd"/>
      <w:r w:rsidR="00CD4E3A" w:rsidRPr="0054016F">
        <w:rPr>
          <w:rFonts w:asciiTheme="minorHAnsi" w:hAnsiTheme="minorHAnsi"/>
          <w:szCs w:val="20"/>
        </w:rPr>
        <w:t xml:space="preserve">-free </w:t>
      </w:r>
      <w:proofErr w:type="spellStart"/>
      <w:r w:rsidR="00CD4E3A" w:rsidRPr="0054016F">
        <w:rPr>
          <w:rFonts w:asciiTheme="minorHAnsi" w:hAnsiTheme="minorHAnsi"/>
          <w:szCs w:val="20"/>
        </w:rPr>
        <w:t>survival</w:t>
      </w:r>
      <w:proofErr w:type="spellEnd"/>
      <w:r w:rsidR="00CD4E3A" w:rsidRPr="0054016F">
        <w:rPr>
          <w:rFonts w:asciiTheme="minorHAnsi" w:hAnsiTheme="minorHAnsi"/>
          <w:szCs w:val="20"/>
        </w:rPr>
        <w:t xml:space="preserve"> = </w:t>
      </w:r>
      <w:r w:rsidRPr="0054016F">
        <w:rPr>
          <w:rFonts w:asciiTheme="minorHAnsi" w:hAnsiTheme="minorHAnsi"/>
          <w:szCs w:val="20"/>
        </w:rPr>
        <w:t xml:space="preserve">DFS) chez les patients </w:t>
      </w:r>
      <w:r w:rsidR="00CD4E3A" w:rsidRPr="0054016F">
        <w:rPr>
          <w:rFonts w:asciiTheme="minorHAnsi" w:hAnsiTheme="minorHAnsi"/>
          <w:szCs w:val="20"/>
        </w:rPr>
        <w:t xml:space="preserve">de </w:t>
      </w:r>
      <w:r w:rsidRPr="0054016F">
        <w:rPr>
          <w:rFonts w:asciiTheme="minorHAnsi" w:hAnsiTheme="minorHAnsi"/>
          <w:szCs w:val="20"/>
        </w:rPr>
        <w:t>stade II et IIIA.</w:t>
      </w:r>
    </w:p>
    <w:p w14:paraId="3E0D5297" w14:textId="77777777" w:rsidR="00AD68B2" w:rsidRDefault="00A54ADF" w:rsidP="00FD73B2">
      <w:pPr>
        <w:spacing w:line="276" w:lineRule="auto"/>
        <w:rPr>
          <w:rFonts w:asciiTheme="minorHAnsi" w:hAnsiTheme="minorHAnsi" w:cstheme="minorHAnsi"/>
          <w:szCs w:val="20"/>
        </w:rPr>
      </w:pPr>
      <w:r w:rsidRPr="0054016F">
        <w:rPr>
          <w:rFonts w:asciiTheme="minorHAnsi" w:hAnsiTheme="minorHAnsi"/>
          <w:szCs w:val="20"/>
        </w:rPr>
        <w:t>L’âge</w:t>
      </w:r>
      <w:r>
        <w:rPr>
          <w:rFonts w:asciiTheme="minorHAnsi" w:hAnsiTheme="minorHAnsi"/>
        </w:rPr>
        <w:t xml:space="preserve"> médian des patients était de 64 ans (</w:t>
      </w:r>
      <w:proofErr w:type="spellStart"/>
      <w:r>
        <w:rPr>
          <w:rFonts w:asciiTheme="minorHAnsi" w:hAnsiTheme="minorHAnsi"/>
        </w:rPr>
        <w:t>osimertinib</w:t>
      </w:r>
      <w:proofErr w:type="spellEnd"/>
      <w:r>
        <w:rPr>
          <w:rFonts w:asciiTheme="minorHAnsi" w:hAnsiTheme="minorHAnsi"/>
        </w:rPr>
        <w:t xml:space="preserve">) </w:t>
      </w:r>
      <w:r w:rsidR="00A478A6">
        <w:rPr>
          <w:rFonts w:asciiTheme="minorHAnsi" w:hAnsiTheme="minorHAnsi"/>
        </w:rPr>
        <w:t xml:space="preserve">et </w:t>
      </w:r>
      <w:r>
        <w:rPr>
          <w:rFonts w:asciiTheme="minorHAnsi" w:hAnsiTheme="minorHAnsi"/>
        </w:rPr>
        <w:t>de 62 ans (placebo), 68 </w:t>
      </w:r>
      <w:r w:rsidRPr="0054016F">
        <w:rPr>
          <w:rFonts w:asciiTheme="minorHAnsi" w:hAnsiTheme="minorHAnsi"/>
        </w:rPr>
        <w:t xml:space="preserve">% </w:t>
      </w:r>
      <w:r w:rsidR="000A0A87" w:rsidRPr="0054016F">
        <w:rPr>
          <w:rFonts w:asciiTheme="minorHAnsi" w:hAnsiTheme="minorHAnsi"/>
        </w:rPr>
        <w:t xml:space="preserve">versus </w:t>
      </w:r>
      <w:r w:rsidRPr="0054016F">
        <w:rPr>
          <w:rFonts w:asciiTheme="minorHAnsi" w:hAnsiTheme="minorHAnsi"/>
        </w:rPr>
        <w:t>75% des patients étaient non-fumeurs et 64% d’origine asiatique</w:t>
      </w:r>
      <w:r w:rsidR="005E2AD0" w:rsidRPr="0054016F">
        <w:rPr>
          <w:rFonts w:asciiTheme="minorHAnsi" w:hAnsiTheme="minorHAnsi"/>
        </w:rPr>
        <w:t xml:space="preserve"> pour les deux groupes</w:t>
      </w:r>
      <w:r w:rsidRPr="0054016F">
        <w:rPr>
          <w:rFonts w:asciiTheme="minorHAnsi" w:hAnsiTheme="minorHAnsi"/>
        </w:rPr>
        <w:t>. Dans les deux bras de</w:t>
      </w:r>
      <w:r>
        <w:rPr>
          <w:rFonts w:asciiTheme="minorHAnsi" w:hAnsiTheme="minorHAnsi"/>
        </w:rPr>
        <w:t xml:space="preserve"> l’étude, la répartition des patients était d’environ un tiers pour chaque stade tumoral (IB, II ou IIIA</w:t>
      </w:r>
      <w:r w:rsidR="00692F55">
        <w:rPr>
          <w:rFonts w:asciiTheme="minorHAnsi" w:hAnsiTheme="minorHAnsi"/>
        </w:rPr>
        <w:t xml:space="preserve"> </w:t>
      </w:r>
      <w:r w:rsidR="005771FF" w:rsidRPr="004C3856">
        <w:rPr>
          <w:rFonts w:asciiTheme="minorHAnsi" w:hAnsiTheme="minorHAnsi"/>
        </w:rPr>
        <w:t xml:space="preserve">selon la </w:t>
      </w:r>
      <w:r w:rsidR="00B4672F" w:rsidRPr="004C3856">
        <w:rPr>
          <w:rFonts w:asciiTheme="minorHAnsi" w:hAnsiTheme="minorHAnsi"/>
        </w:rPr>
        <w:t xml:space="preserve">7e </w:t>
      </w:r>
      <w:r w:rsidR="00611770" w:rsidRPr="004C3856">
        <w:rPr>
          <w:rFonts w:asciiTheme="minorHAnsi" w:hAnsiTheme="minorHAnsi"/>
        </w:rPr>
        <w:t xml:space="preserve">édition </w:t>
      </w:r>
      <w:r w:rsidR="00B4672F" w:rsidRPr="004C3856">
        <w:rPr>
          <w:rFonts w:asciiTheme="minorHAnsi" w:hAnsiTheme="minorHAnsi"/>
        </w:rPr>
        <w:t>et la 8e</w:t>
      </w:r>
      <w:r w:rsidR="00E65EDA" w:rsidRPr="004C3856">
        <w:rPr>
          <w:rFonts w:asciiTheme="minorHAnsi" w:hAnsiTheme="minorHAnsi"/>
        </w:rPr>
        <w:t xml:space="preserve"> </w:t>
      </w:r>
      <w:r w:rsidR="00A86317" w:rsidRPr="004C3856">
        <w:rPr>
          <w:rFonts w:asciiTheme="minorHAnsi" w:hAnsiTheme="minorHAnsi"/>
        </w:rPr>
        <w:t>édition actuelle</w:t>
      </w:r>
      <w:r>
        <w:rPr>
          <w:rFonts w:asciiTheme="minorHAnsi" w:hAnsiTheme="minorHAnsi"/>
        </w:rPr>
        <w:t xml:space="preserve">). Les adénocarcinomes représentaient 96 à 97% des tumeurs. 60% </w:t>
      </w:r>
      <w:r w:rsidRPr="0054016F">
        <w:rPr>
          <w:rFonts w:asciiTheme="minorHAnsi" w:hAnsiTheme="minorHAnsi"/>
        </w:rPr>
        <w:t>des patients avaient déjà reçu une chimiothérapie adjuvante</w:t>
      </w:r>
      <w:r w:rsidR="004370AD" w:rsidRPr="0054016F">
        <w:rPr>
          <w:rFonts w:asciiTheme="minorHAnsi" w:hAnsiTheme="minorHAnsi"/>
        </w:rPr>
        <w:t xml:space="preserve"> (stade </w:t>
      </w:r>
      <w:proofErr w:type="gramStart"/>
      <w:r w:rsidR="004370AD" w:rsidRPr="0054016F">
        <w:rPr>
          <w:rFonts w:asciiTheme="minorHAnsi" w:hAnsiTheme="minorHAnsi"/>
        </w:rPr>
        <w:t>IB:</w:t>
      </w:r>
      <w:proofErr w:type="gramEnd"/>
      <w:r w:rsidR="004370AD" w:rsidRPr="0054016F">
        <w:rPr>
          <w:rFonts w:asciiTheme="minorHAnsi" w:hAnsiTheme="minorHAnsi"/>
        </w:rPr>
        <w:t xml:space="preserve"> 26%, stade II: 71%, stade IIIA: 80%)</w:t>
      </w:r>
      <w:r w:rsidR="0038186C">
        <w:rPr>
          <w:rFonts w:asciiTheme="minorHAnsi" w:hAnsiTheme="minorHAnsi"/>
          <w:vertAlign w:val="superscript"/>
        </w:rPr>
        <w:t>3</w:t>
      </w:r>
      <w:r w:rsidR="004370AD" w:rsidRPr="0054016F">
        <w:rPr>
          <w:rFonts w:asciiTheme="minorHAnsi" w:hAnsiTheme="minorHAnsi"/>
        </w:rPr>
        <w:t>, ceci étant bien équilibré dans les deux bras</w:t>
      </w:r>
      <w:r w:rsidRPr="0054016F">
        <w:rPr>
          <w:rFonts w:asciiTheme="minorHAnsi" w:hAnsiTheme="minorHAnsi"/>
        </w:rPr>
        <w:t>.</w:t>
      </w:r>
    </w:p>
    <w:p w14:paraId="2FB2526A" w14:textId="77777777" w:rsidR="00AD68B2" w:rsidRDefault="00AD68B2" w:rsidP="00FD73B2">
      <w:pPr>
        <w:spacing w:line="276" w:lineRule="auto"/>
        <w:rPr>
          <w:rFonts w:asciiTheme="minorHAnsi" w:hAnsiTheme="minorHAnsi" w:cstheme="minorHAnsi"/>
          <w:szCs w:val="20"/>
        </w:rPr>
      </w:pPr>
    </w:p>
    <w:p w14:paraId="0D09F22E" w14:textId="52B61E39" w:rsidR="001F0BCB" w:rsidRPr="00AD68B2" w:rsidRDefault="00A54ADF" w:rsidP="00FD73B2">
      <w:pPr>
        <w:spacing w:line="276" w:lineRule="auto"/>
        <w:rPr>
          <w:rFonts w:asciiTheme="minorHAnsi" w:hAnsiTheme="minorHAnsi" w:cstheme="minorHAnsi"/>
          <w:szCs w:val="20"/>
        </w:rPr>
      </w:pPr>
      <w:r w:rsidRPr="0054016F">
        <w:rPr>
          <w:rFonts w:asciiTheme="minorHAnsi" w:hAnsiTheme="minorHAnsi"/>
        </w:rPr>
        <w:t xml:space="preserve">Chez les patients </w:t>
      </w:r>
      <w:r w:rsidRPr="0054016F">
        <w:rPr>
          <w:rFonts w:asciiTheme="minorHAnsi" w:hAnsiTheme="minorHAnsi"/>
          <w:b/>
          <w:bCs/>
        </w:rPr>
        <w:t>aux stades</w:t>
      </w:r>
      <w:r w:rsidRPr="0054016F">
        <w:rPr>
          <w:rFonts w:asciiTheme="minorHAnsi" w:hAnsiTheme="minorHAnsi"/>
        </w:rPr>
        <w:t xml:space="preserve"> </w:t>
      </w:r>
      <w:r w:rsidRPr="0054016F">
        <w:rPr>
          <w:rFonts w:asciiTheme="minorHAnsi" w:hAnsiTheme="minorHAnsi"/>
          <w:b/>
        </w:rPr>
        <w:t>II et IIIA</w:t>
      </w:r>
      <w:r w:rsidRPr="0054016F">
        <w:rPr>
          <w:rFonts w:asciiTheme="minorHAnsi" w:hAnsiTheme="minorHAnsi"/>
        </w:rPr>
        <w:t>, le traitement adjuvant par l’</w:t>
      </w:r>
      <w:proofErr w:type="spellStart"/>
      <w:r w:rsidRPr="0054016F">
        <w:rPr>
          <w:rFonts w:asciiTheme="minorHAnsi" w:hAnsiTheme="minorHAnsi"/>
        </w:rPr>
        <w:t>osimertinib</w:t>
      </w:r>
      <w:proofErr w:type="spellEnd"/>
      <w:r w:rsidRPr="0054016F">
        <w:rPr>
          <w:rFonts w:asciiTheme="minorHAnsi" w:hAnsiTheme="minorHAnsi"/>
        </w:rPr>
        <w:t xml:space="preserve"> a </w:t>
      </w:r>
      <w:r w:rsidR="00053D20">
        <w:rPr>
          <w:rFonts w:asciiTheme="minorHAnsi" w:hAnsiTheme="minorHAnsi"/>
        </w:rPr>
        <w:t>non seulem</w:t>
      </w:r>
      <w:r w:rsidR="00DC1AA9">
        <w:rPr>
          <w:rFonts w:asciiTheme="minorHAnsi" w:hAnsiTheme="minorHAnsi"/>
        </w:rPr>
        <w:t xml:space="preserve">ent </w:t>
      </w:r>
      <w:r w:rsidRPr="0054016F">
        <w:rPr>
          <w:rFonts w:asciiTheme="minorHAnsi" w:hAnsiTheme="minorHAnsi"/>
        </w:rPr>
        <w:t xml:space="preserve">réduit de </w:t>
      </w:r>
      <w:r w:rsidR="00356D07">
        <w:rPr>
          <w:rFonts w:asciiTheme="minorHAnsi" w:hAnsiTheme="minorHAnsi"/>
        </w:rPr>
        <w:t>77</w:t>
      </w:r>
      <w:r w:rsidRPr="0054016F">
        <w:rPr>
          <w:rFonts w:asciiTheme="minorHAnsi" w:hAnsiTheme="minorHAnsi"/>
        </w:rPr>
        <w:t xml:space="preserve">% le risque de récidive de la maladie ou de décès </w:t>
      </w:r>
      <w:r w:rsidRPr="002147BF">
        <w:rPr>
          <w:rFonts w:asciiTheme="minorHAnsi" w:hAnsiTheme="minorHAnsi"/>
        </w:rPr>
        <w:t>(HR=0</w:t>
      </w:r>
      <w:r w:rsidR="00F9080A" w:rsidRPr="002147BF">
        <w:rPr>
          <w:rFonts w:asciiTheme="minorHAnsi" w:hAnsiTheme="minorHAnsi"/>
        </w:rPr>
        <w:t>.</w:t>
      </w:r>
      <w:proofErr w:type="gramStart"/>
      <w:r w:rsidR="00356D07" w:rsidRPr="002147BF">
        <w:rPr>
          <w:rFonts w:asciiTheme="minorHAnsi" w:hAnsiTheme="minorHAnsi"/>
        </w:rPr>
        <w:t>23</w:t>
      </w:r>
      <w:r w:rsidRPr="002147BF">
        <w:rPr>
          <w:rFonts w:asciiTheme="minorHAnsi" w:hAnsiTheme="minorHAnsi"/>
        </w:rPr>
        <w:t>;</w:t>
      </w:r>
      <w:proofErr w:type="gramEnd"/>
      <w:r w:rsidRPr="002147BF">
        <w:rPr>
          <w:rFonts w:asciiTheme="minorHAnsi" w:hAnsiTheme="minorHAnsi"/>
        </w:rPr>
        <w:t xml:space="preserve"> IC à</w:t>
      </w:r>
      <w:r w:rsidRPr="0054016F">
        <w:rPr>
          <w:rFonts w:asciiTheme="minorHAnsi" w:hAnsiTheme="minorHAnsi"/>
        </w:rPr>
        <w:t xml:space="preserve"> </w:t>
      </w:r>
      <w:r w:rsidR="000A07BF">
        <w:rPr>
          <w:rFonts w:asciiTheme="minorHAnsi" w:hAnsiTheme="minorHAnsi"/>
        </w:rPr>
        <w:t>95</w:t>
      </w:r>
      <w:r w:rsidRPr="0054016F">
        <w:rPr>
          <w:rFonts w:asciiTheme="minorHAnsi" w:hAnsiTheme="minorHAnsi"/>
        </w:rPr>
        <w:t>%: 0.</w:t>
      </w:r>
      <w:r w:rsidR="000A07BF" w:rsidRPr="0054016F">
        <w:rPr>
          <w:rFonts w:asciiTheme="minorHAnsi" w:hAnsiTheme="minorHAnsi"/>
        </w:rPr>
        <w:t>1</w:t>
      </w:r>
      <w:r w:rsidR="000A07BF">
        <w:rPr>
          <w:rFonts w:asciiTheme="minorHAnsi" w:hAnsiTheme="minorHAnsi"/>
        </w:rPr>
        <w:t>8</w:t>
      </w:r>
      <w:r w:rsidRPr="0054016F">
        <w:rPr>
          <w:rFonts w:asciiTheme="minorHAnsi" w:hAnsiTheme="minorHAnsi"/>
        </w:rPr>
        <w:t>–0.</w:t>
      </w:r>
      <w:r w:rsidR="000A07BF">
        <w:rPr>
          <w:rFonts w:asciiTheme="minorHAnsi" w:hAnsiTheme="minorHAnsi"/>
        </w:rPr>
        <w:t>30</w:t>
      </w:r>
      <w:r w:rsidR="000A07BF" w:rsidRPr="0054016F" w:rsidDel="000A07BF">
        <w:rPr>
          <w:rFonts w:asciiTheme="minorHAnsi" w:hAnsiTheme="minorHAnsi"/>
        </w:rPr>
        <w:t xml:space="preserve"> </w:t>
      </w:r>
      <w:r w:rsidRPr="0054016F">
        <w:rPr>
          <w:rFonts w:asciiTheme="minorHAnsi" w:hAnsiTheme="minorHAnsi"/>
        </w:rPr>
        <w:t>)</w:t>
      </w:r>
      <w:r w:rsidR="002C1C27">
        <w:rPr>
          <w:rFonts w:asciiTheme="minorHAnsi" w:hAnsiTheme="minorHAnsi"/>
        </w:rPr>
        <w:t xml:space="preserve">, mais </w:t>
      </w:r>
      <w:r w:rsidR="002C1C27" w:rsidRPr="002C1C27">
        <w:rPr>
          <w:rFonts w:asciiTheme="minorHAnsi" w:hAnsiTheme="minorHAnsi"/>
        </w:rPr>
        <w:t>a également prolongé la survie globale (OS) de manière statistiquement significative (HR=0</w:t>
      </w:r>
      <w:r w:rsidR="009D4892">
        <w:rPr>
          <w:rFonts w:asciiTheme="minorHAnsi" w:hAnsiTheme="minorHAnsi"/>
        </w:rPr>
        <w:t>.</w:t>
      </w:r>
      <w:r w:rsidR="002C1C27" w:rsidRPr="002C1C27">
        <w:rPr>
          <w:rFonts w:asciiTheme="minorHAnsi" w:hAnsiTheme="minorHAnsi"/>
        </w:rPr>
        <w:t>49</w:t>
      </w:r>
      <w:r w:rsidR="009D4892">
        <w:rPr>
          <w:rFonts w:asciiTheme="minorHAnsi" w:hAnsiTheme="minorHAnsi"/>
        </w:rPr>
        <w:t> ;</w:t>
      </w:r>
      <w:r w:rsidR="002C1C27" w:rsidRPr="002C1C27">
        <w:rPr>
          <w:rFonts w:asciiTheme="minorHAnsi" w:hAnsiTheme="minorHAnsi"/>
        </w:rPr>
        <w:t xml:space="preserve"> IC à 95%: 0</w:t>
      </w:r>
      <w:r w:rsidR="00D45299">
        <w:rPr>
          <w:rFonts w:asciiTheme="minorHAnsi" w:hAnsiTheme="minorHAnsi"/>
        </w:rPr>
        <w:t>.</w:t>
      </w:r>
      <w:r w:rsidR="002C1C27" w:rsidRPr="002C1C27">
        <w:rPr>
          <w:rFonts w:asciiTheme="minorHAnsi" w:hAnsiTheme="minorHAnsi"/>
        </w:rPr>
        <w:t>33-0</w:t>
      </w:r>
      <w:r w:rsidR="00D45299">
        <w:rPr>
          <w:rFonts w:asciiTheme="minorHAnsi" w:hAnsiTheme="minorHAnsi"/>
        </w:rPr>
        <w:t>.</w:t>
      </w:r>
      <w:r w:rsidR="002C1C27" w:rsidRPr="002C1C27">
        <w:rPr>
          <w:rFonts w:asciiTheme="minorHAnsi" w:hAnsiTheme="minorHAnsi"/>
        </w:rPr>
        <w:t>73, p=0</w:t>
      </w:r>
      <w:r w:rsidR="00D45299">
        <w:rPr>
          <w:rFonts w:asciiTheme="minorHAnsi" w:hAnsiTheme="minorHAnsi"/>
        </w:rPr>
        <w:t>.</w:t>
      </w:r>
      <w:r w:rsidR="002C1C27" w:rsidRPr="002C1C27">
        <w:rPr>
          <w:rFonts w:asciiTheme="minorHAnsi" w:hAnsiTheme="minorHAnsi"/>
        </w:rPr>
        <w:t>0004) par rapport au groupe placebo</w:t>
      </w:r>
      <w:r w:rsidRPr="0054016F">
        <w:rPr>
          <w:rFonts w:asciiTheme="minorHAnsi" w:hAnsiTheme="minorHAnsi"/>
        </w:rPr>
        <w:t>.</w:t>
      </w:r>
      <w:r w:rsidR="00A45762">
        <w:rPr>
          <w:rFonts w:asciiTheme="minorHAnsi" w:hAnsiTheme="minorHAnsi"/>
        </w:rPr>
        <w:t xml:space="preserve"> </w:t>
      </w:r>
      <w:r w:rsidR="00A45762" w:rsidRPr="00A45762">
        <w:rPr>
          <w:rFonts w:asciiTheme="minorHAnsi" w:hAnsiTheme="minorHAnsi"/>
        </w:rPr>
        <w:t xml:space="preserve">La survie médiane sans maladie (DFS) était de 65,8 mois pour les patients du groupe </w:t>
      </w:r>
      <w:proofErr w:type="spellStart"/>
      <w:r w:rsidR="00A45762" w:rsidRPr="00A45762">
        <w:rPr>
          <w:rFonts w:asciiTheme="minorHAnsi" w:hAnsiTheme="minorHAnsi"/>
        </w:rPr>
        <w:t>osimertinib</w:t>
      </w:r>
      <w:proofErr w:type="spellEnd"/>
      <w:r w:rsidR="00A45762" w:rsidRPr="00A45762">
        <w:rPr>
          <w:rFonts w:asciiTheme="minorHAnsi" w:hAnsiTheme="minorHAnsi"/>
        </w:rPr>
        <w:t xml:space="preserve"> et de 21,9 mois pour les patients du groupe placebo. </w:t>
      </w:r>
      <w:r w:rsidRPr="0054016F">
        <w:rPr>
          <w:rFonts w:asciiTheme="minorHAnsi" w:hAnsiTheme="minorHAnsi"/>
        </w:rPr>
        <w:t>Dans</w:t>
      </w:r>
      <w:r>
        <w:rPr>
          <w:rFonts w:asciiTheme="minorHAnsi" w:hAnsiTheme="minorHAnsi"/>
        </w:rPr>
        <w:t xml:space="preserve"> l'ensemble de la population étudiée </w:t>
      </w:r>
      <w:r w:rsidRPr="002147BF">
        <w:rPr>
          <w:rFonts w:asciiTheme="minorHAnsi" w:hAnsiTheme="minorHAnsi"/>
        </w:rPr>
        <w:t>(</w:t>
      </w:r>
      <w:r>
        <w:rPr>
          <w:rFonts w:asciiTheme="minorHAnsi" w:hAnsiTheme="minorHAnsi"/>
          <w:b/>
          <w:bCs/>
        </w:rPr>
        <w:t>stades IB, II et IIIA</w:t>
      </w:r>
      <w:r w:rsidRPr="002147BF">
        <w:rPr>
          <w:rFonts w:asciiTheme="minorHAnsi" w:hAnsiTheme="minorHAnsi"/>
        </w:rPr>
        <w:t>)</w:t>
      </w:r>
      <w:r>
        <w:rPr>
          <w:rFonts w:asciiTheme="minorHAnsi" w:hAnsiTheme="minorHAnsi"/>
        </w:rPr>
        <w:t>, l'</w:t>
      </w:r>
      <w:proofErr w:type="spellStart"/>
      <w:r>
        <w:rPr>
          <w:rFonts w:asciiTheme="minorHAnsi" w:hAnsiTheme="minorHAnsi"/>
        </w:rPr>
        <w:t>osimertinib</w:t>
      </w:r>
      <w:proofErr w:type="spellEnd"/>
      <w:r>
        <w:rPr>
          <w:rFonts w:asciiTheme="minorHAnsi" w:hAnsiTheme="minorHAnsi"/>
        </w:rPr>
        <w:t xml:space="preserve"> a réduit de </w:t>
      </w:r>
      <w:r w:rsidR="003063C8">
        <w:rPr>
          <w:rFonts w:asciiTheme="minorHAnsi" w:hAnsiTheme="minorHAnsi"/>
        </w:rPr>
        <w:t>73</w:t>
      </w:r>
      <w:r>
        <w:rPr>
          <w:rFonts w:asciiTheme="minorHAnsi" w:hAnsiTheme="minorHAnsi"/>
        </w:rPr>
        <w:t xml:space="preserve">% le risque de </w:t>
      </w:r>
      <w:r w:rsidR="00B230DB">
        <w:rPr>
          <w:rFonts w:asciiTheme="minorHAnsi" w:hAnsiTheme="minorHAnsi"/>
        </w:rPr>
        <w:t xml:space="preserve">récidive </w:t>
      </w:r>
      <w:r>
        <w:rPr>
          <w:rFonts w:asciiTheme="minorHAnsi" w:hAnsiTheme="minorHAnsi"/>
        </w:rPr>
        <w:t xml:space="preserve">de la maladie ou de décès </w:t>
      </w:r>
      <w:r w:rsidRPr="00FE0813">
        <w:rPr>
          <w:rFonts w:asciiTheme="minorHAnsi" w:hAnsiTheme="minorHAnsi"/>
        </w:rPr>
        <w:t>(HR=0.</w:t>
      </w:r>
      <w:proofErr w:type="gramStart"/>
      <w:r w:rsidR="003063C8" w:rsidRPr="00FE0813">
        <w:rPr>
          <w:rFonts w:asciiTheme="minorHAnsi" w:hAnsiTheme="minorHAnsi"/>
        </w:rPr>
        <w:t>27</w:t>
      </w:r>
      <w:r w:rsidRPr="00FE0813">
        <w:rPr>
          <w:rFonts w:asciiTheme="minorHAnsi" w:hAnsiTheme="minorHAnsi"/>
        </w:rPr>
        <w:t>;</w:t>
      </w:r>
      <w:proofErr w:type="gramEnd"/>
      <w:r w:rsidRPr="00FE0813">
        <w:rPr>
          <w:rFonts w:asciiTheme="minorHAnsi" w:hAnsiTheme="minorHAnsi"/>
        </w:rPr>
        <w:t xml:space="preserve"> IC à</w:t>
      </w:r>
      <w:r>
        <w:rPr>
          <w:rFonts w:asciiTheme="minorHAnsi" w:hAnsiTheme="minorHAnsi"/>
        </w:rPr>
        <w:t xml:space="preserve"> </w:t>
      </w:r>
      <w:r w:rsidR="003063C8">
        <w:rPr>
          <w:rFonts w:asciiTheme="minorHAnsi" w:hAnsiTheme="minorHAnsi"/>
        </w:rPr>
        <w:t>95</w:t>
      </w:r>
      <w:r>
        <w:rPr>
          <w:rFonts w:asciiTheme="minorHAnsi" w:hAnsiTheme="minorHAnsi"/>
        </w:rPr>
        <w:t>%: 0.</w:t>
      </w:r>
      <w:r w:rsidR="00EE7011">
        <w:rPr>
          <w:rFonts w:asciiTheme="minorHAnsi" w:hAnsiTheme="minorHAnsi"/>
        </w:rPr>
        <w:t>21</w:t>
      </w:r>
      <w:r>
        <w:rPr>
          <w:rFonts w:asciiTheme="minorHAnsi" w:hAnsiTheme="minorHAnsi"/>
        </w:rPr>
        <w:t>–0.</w:t>
      </w:r>
      <w:r w:rsidR="00EE7011">
        <w:rPr>
          <w:rFonts w:asciiTheme="minorHAnsi" w:hAnsiTheme="minorHAnsi"/>
        </w:rPr>
        <w:t>34</w:t>
      </w:r>
      <w:r>
        <w:rPr>
          <w:rFonts w:asciiTheme="minorHAnsi" w:hAnsiTheme="minorHAnsi"/>
        </w:rPr>
        <w:t>) versus placebo avec</w:t>
      </w:r>
      <w:r w:rsidR="002C2C16" w:rsidRPr="002C2C16">
        <w:t xml:space="preserve"> </w:t>
      </w:r>
      <w:r w:rsidR="002C2C16" w:rsidRPr="002C2C16">
        <w:rPr>
          <w:rFonts w:asciiTheme="minorHAnsi" w:hAnsiTheme="minorHAnsi"/>
        </w:rPr>
        <w:t xml:space="preserve">une DFS de 65,8 mois pour le groupe </w:t>
      </w:r>
      <w:proofErr w:type="spellStart"/>
      <w:r w:rsidR="002C2C16" w:rsidRPr="002C2C16">
        <w:rPr>
          <w:rFonts w:asciiTheme="minorHAnsi" w:hAnsiTheme="minorHAnsi"/>
        </w:rPr>
        <w:t>osimertinib</w:t>
      </w:r>
      <w:proofErr w:type="spellEnd"/>
      <w:r w:rsidR="002C2C16" w:rsidRPr="002C2C16">
        <w:rPr>
          <w:rFonts w:asciiTheme="minorHAnsi" w:hAnsiTheme="minorHAnsi"/>
        </w:rPr>
        <w:t xml:space="preserve"> et de 28,1 mois pour le groupe </w:t>
      </w:r>
      <w:r w:rsidR="002C2C16" w:rsidRPr="00871F15">
        <w:rPr>
          <w:rFonts w:asciiTheme="minorHAnsi" w:hAnsiTheme="minorHAnsi"/>
        </w:rPr>
        <w:t>placebo</w:t>
      </w:r>
      <w:r w:rsidRPr="00871F15">
        <w:rPr>
          <w:rFonts w:asciiTheme="minorHAnsi" w:hAnsiTheme="minorHAnsi"/>
        </w:rPr>
        <w:t xml:space="preserve">. </w:t>
      </w:r>
      <w:r w:rsidR="00446840" w:rsidRPr="00446840">
        <w:rPr>
          <w:rFonts w:asciiTheme="minorHAnsi" w:hAnsiTheme="minorHAnsi"/>
        </w:rPr>
        <w:t>Dans l'ensemble de la population étudiée, l'</w:t>
      </w:r>
      <w:proofErr w:type="spellStart"/>
      <w:r w:rsidR="00446840" w:rsidRPr="00446840">
        <w:rPr>
          <w:rFonts w:asciiTheme="minorHAnsi" w:hAnsiTheme="minorHAnsi"/>
        </w:rPr>
        <w:t>osimertinib</w:t>
      </w:r>
      <w:proofErr w:type="spellEnd"/>
      <w:r w:rsidR="00446840" w:rsidRPr="00446840">
        <w:rPr>
          <w:rFonts w:asciiTheme="minorHAnsi" w:hAnsiTheme="minorHAnsi"/>
        </w:rPr>
        <w:t xml:space="preserve"> a également prolongé la survie globale de manière statistiquement significative (HR=0</w:t>
      </w:r>
      <w:r w:rsidR="00446840">
        <w:rPr>
          <w:rFonts w:asciiTheme="minorHAnsi" w:hAnsiTheme="minorHAnsi"/>
        </w:rPr>
        <w:t>.</w:t>
      </w:r>
      <w:proofErr w:type="gramStart"/>
      <w:r w:rsidR="00446840" w:rsidRPr="00446840">
        <w:rPr>
          <w:rFonts w:asciiTheme="minorHAnsi" w:hAnsiTheme="minorHAnsi"/>
        </w:rPr>
        <w:t>49;</w:t>
      </w:r>
      <w:proofErr w:type="gramEnd"/>
      <w:r w:rsidR="00446840" w:rsidRPr="00446840">
        <w:rPr>
          <w:rFonts w:asciiTheme="minorHAnsi" w:hAnsiTheme="minorHAnsi"/>
        </w:rPr>
        <w:t xml:space="preserve"> IC à 95%: 0</w:t>
      </w:r>
      <w:r w:rsidR="00D45299">
        <w:rPr>
          <w:rFonts w:asciiTheme="minorHAnsi" w:hAnsiTheme="minorHAnsi"/>
        </w:rPr>
        <w:t>.</w:t>
      </w:r>
      <w:r w:rsidR="00446840" w:rsidRPr="00446840">
        <w:rPr>
          <w:rFonts w:asciiTheme="minorHAnsi" w:hAnsiTheme="minorHAnsi"/>
        </w:rPr>
        <w:t>34-0</w:t>
      </w:r>
      <w:r w:rsidR="00D45299">
        <w:rPr>
          <w:rFonts w:asciiTheme="minorHAnsi" w:hAnsiTheme="minorHAnsi"/>
        </w:rPr>
        <w:t>.</w:t>
      </w:r>
      <w:r w:rsidR="00446840" w:rsidRPr="00446840">
        <w:rPr>
          <w:rFonts w:asciiTheme="minorHAnsi" w:hAnsiTheme="minorHAnsi"/>
        </w:rPr>
        <w:t>70, p&lt;0</w:t>
      </w:r>
      <w:r w:rsidR="00D45299">
        <w:rPr>
          <w:rFonts w:asciiTheme="minorHAnsi" w:hAnsiTheme="minorHAnsi"/>
        </w:rPr>
        <w:t>.</w:t>
      </w:r>
      <w:r w:rsidR="00446840" w:rsidRPr="00446840">
        <w:rPr>
          <w:rFonts w:asciiTheme="minorHAnsi" w:hAnsiTheme="minorHAnsi"/>
        </w:rPr>
        <w:t>0001).</w:t>
      </w:r>
      <w:r w:rsidR="00F96B28">
        <w:rPr>
          <w:rFonts w:asciiTheme="minorHAnsi" w:hAnsiTheme="minorHAnsi"/>
        </w:rPr>
        <w:t xml:space="preserve"> </w:t>
      </w:r>
      <w:r w:rsidR="009852DA" w:rsidRPr="00871F15">
        <w:rPr>
          <w:rFonts w:asciiTheme="minorHAnsi" w:hAnsiTheme="minorHAnsi"/>
        </w:rPr>
        <w:t>De plus, le bénéfice de la DFS</w:t>
      </w:r>
      <w:r w:rsidR="005910F0">
        <w:rPr>
          <w:rFonts w:asciiTheme="minorHAnsi" w:hAnsiTheme="minorHAnsi"/>
        </w:rPr>
        <w:t xml:space="preserve"> et OS</w:t>
      </w:r>
      <w:r w:rsidR="009852DA" w:rsidRPr="00871F15">
        <w:rPr>
          <w:rFonts w:asciiTheme="minorHAnsi" w:hAnsiTheme="minorHAnsi"/>
        </w:rPr>
        <w:t xml:space="preserve"> avec l'</w:t>
      </w:r>
      <w:proofErr w:type="spellStart"/>
      <w:r w:rsidR="009852DA" w:rsidRPr="00871F15">
        <w:rPr>
          <w:rFonts w:asciiTheme="minorHAnsi" w:hAnsiTheme="minorHAnsi"/>
        </w:rPr>
        <w:t>osimertinib</w:t>
      </w:r>
      <w:proofErr w:type="spellEnd"/>
      <w:r w:rsidR="009852DA" w:rsidRPr="00871F15">
        <w:rPr>
          <w:rFonts w:asciiTheme="minorHAnsi" w:hAnsiTheme="minorHAnsi"/>
        </w:rPr>
        <w:t xml:space="preserve"> a été observé indépendamment du fait que les patients aient reçu ou non une chimiothérapie adjuvante préalable.</w:t>
      </w:r>
    </w:p>
    <w:p w14:paraId="2B33E4E1" w14:textId="77777777" w:rsidR="00AD68B2" w:rsidRPr="00871F15" w:rsidRDefault="00AD68B2" w:rsidP="00FD73B2">
      <w:pPr>
        <w:spacing w:line="276" w:lineRule="auto"/>
        <w:rPr>
          <w:rFonts w:asciiTheme="minorHAnsi" w:hAnsiTheme="minorHAnsi"/>
        </w:rPr>
      </w:pPr>
    </w:p>
    <w:p w14:paraId="43129ED9" w14:textId="3BD6211A" w:rsidR="001F0BCB" w:rsidRPr="00AE4856" w:rsidRDefault="00A54ADF" w:rsidP="00FD73B2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Le </w:t>
      </w:r>
      <w:r w:rsidRPr="00FE0813">
        <w:rPr>
          <w:rFonts w:asciiTheme="minorHAnsi" w:hAnsiTheme="minorHAnsi"/>
          <w:b/>
          <w:bCs/>
        </w:rPr>
        <w:t>bénéfice significatif</w:t>
      </w:r>
      <w:r>
        <w:rPr>
          <w:rFonts w:asciiTheme="minorHAnsi" w:hAnsiTheme="minorHAnsi"/>
        </w:rPr>
        <w:t xml:space="preserve"> d’un traitement adjuvant par l’</w:t>
      </w:r>
      <w:proofErr w:type="spellStart"/>
      <w:r>
        <w:rPr>
          <w:rFonts w:asciiTheme="minorHAnsi" w:hAnsiTheme="minorHAnsi"/>
        </w:rPr>
        <w:t>osimertinib</w:t>
      </w:r>
      <w:proofErr w:type="spellEnd"/>
      <w:r>
        <w:rPr>
          <w:rFonts w:asciiTheme="minorHAnsi" w:hAnsiTheme="minorHAnsi"/>
        </w:rPr>
        <w:t xml:space="preserve"> a pu être démontré pour </w:t>
      </w:r>
      <w:r>
        <w:rPr>
          <w:rFonts w:asciiTheme="minorHAnsi" w:hAnsiTheme="minorHAnsi"/>
          <w:b/>
        </w:rPr>
        <w:t xml:space="preserve">tous les sous-groupes </w:t>
      </w:r>
      <w:proofErr w:type="gramStart"/>
      <w:r>
        <w:rPr>
          <w:rFonts w:asciiTheme="minorHAnsi" w:hAnsiTheme="minorHAnsi"/>
          <w:b/>
        </w:rPr>
        <w:t>étudiés</w:t>
      </w:r>
      <w:r>
        <w:rPr>
          <w:rFonts w:asciiTheme="minorHAnsi" w:hAnsiTheme="minorHAnsi"/>
        </w:rPr>
        <w:t>:</w:t>
      </w:r>
      <w:proofErr w:type="gramEnd"/>
      <w:r>
        <w:rPr>
          <w:rFonts w:asciiTheme="minorHAnsi" w:hAnsiTheme="minorHAnsi"/>
        </w:rPr>
        <w:t xml:space="preserve"> </w:t>
      </w:r>
      <w:r w:rsidR="007F695A">
        <w:rPr>
          <w:rFonts w:asciiTheme="minorHAnsi" w:hAnsiTheme="minorHAnsi"/>
        </w:rPr>
        <w:t xml:space="preserve">Pour </w:t>
      </w:r>
      <w:r>
        <w:rPr>
          <w:rFonts w:asciiTheme="minorHAnsi" w:hAnsiTheme="minorHAnsi"/>
        </w:rPr>
        <w:t xml:space="preserve">le sous-groupe </w:t>
      </w:r>
      <w:r>
        <w:rPr>
          <w:rFonts w:asciiTheme="minorHAnsi" w:hAnsiTheme="minorHAnsi"/>
          <w:i/>
          <w:highlight w:val="cyan"/>
        </w:rPr>
        <w:t>(veuillez choisir: IB ou II ou IIIA</w:t>
      </w:r>
      <w:r w:rsidR="005C73E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correspondant à mon patient) </w:t>
      </w:r>
      <w:r w:rsidR="00245F8F">
        <w:rPr>
          <w:rFonts w:asciiTheme="minorHAnsi" w:hAnsiTheme="minorHAnsi"/>
        </w:rPr>
        <w:t>il en résulte</w:t>
      </w:r>
      <w:r w:rsidR="008C27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  <w:highlight w:val="cyan"/>
        </w:rPr>
        <w:t>(choisissez le sous-groupe en fonction du stade de votre patient:)</w:t>
      </w:r>
    </w:p>
    <w:p w14:paraId="6314121D" w14:textId="712FE7E2" w:rsidR="001F0BCB" w:rsidRPr="00AE4856" w:rsidRDefault="001F0BCB" w:rsidP="00FD73B2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  <w:i/>
          <w:highlight w:val="cyan"/>
        </w:rPr>
        <w:t xml:space="preserve">Stade </w:t>
      </w:r>
      <w:proofErr w:type="gramStart"/>
      <w:r>
        <w:rPr>
          <w:rFonts w:asciiTheme="minorHAnsi" w:hAnsiTheme="minorHAnsi"/>
          <w:i/>
          <w:highlight w:val="cyan"/>
        </w:rPr>
        <w:t>IB:</w:t>
      </w:r>
      <w:proofErr w:type="gramEnd"/>
      <w:r>
        <w:rPr>
          <w:rFonts w:asciiTheme="minorHAnsi" w:hAnsiTheme="minorHAnsi"/>
        </w:rPr>
        <w:t xml:space="preserve"> </w:t>
      </w:r>
      <w:r w:rsidR="00840265">
        <w:rPr>
          <w:rFonts w:asciiTheme="minorHAnsi" w:hAnsiTheme="minorHAnsi"/>
        </w:rPr>
        <w:t xml:space="preserve">une DFS à 4 ans chez 80% des patients sous </w:t>
      </w:r>
      <w:proofErr w:type="spellStart"/>
      <w:r w:rsidR="00840265">
        <w:rPr>
          <w:rFonts w:asciiTheme="minorHAnsi" w:hAnsiTheme="minorHAnsi"/>
        </w:rPr>
        <w:t>osimertinib</w:t>
      </w:r>
      <w:proofErr w:type="spellEnd"/>
      <w:r w:rsidR="00840265">
        <w:rPr>
          <w:rFonts w:asciiTheme="minorHAnsi" w:hAnsiTheme="minorHAnsi"/>
        </w:rPr>
        <w:t xml:space="preserve"> </w:t>
      </w:r>
      <w:r w:rsidR="007575E1">
        <w:rPr>
          <w:rFonts w:asciiTheme="minorHAnsi" w:hAnsiTheme="minorHAnsi"/>
        </w:rPr>
        <w:t>versus</w:t>
      </w:r>
      <w:r w:rsidR="00840265">
        <w:rPr>
          <w:rFonts w:asciiTheme="minorHAnsi" w:hAnsiTheme="minorHAnsi"/>
        </w:rPr>
        <w:t xml:space="preserve"> 60%</w:t>
      </w:r>
      <w:r w:rsidR="001A470F">
        <w:rPr>
          <w:rFonts w:asciiTheme="minorHAnsi" w:hAnsiTheme="minorHAnsi"/>
        </w:rPr>
        <w:t xml:space="preserve"> des patients sous placebo </w:t>
      </w:r>
      <w:r w:rsidR="00F9238F" w:rsidRPr="00AD68B2">
        <w:rPr>
          <w:rFonts w:asciiTheme="minorHAnsi" w:hAnsiTheme="minorHAnsi" w:cstheme="minorHAnsi"/>
          <w:szCs w:val="20"/>
        </w:rPr>
        <w:t xml:space="preserve">(HR=0.44; </w:t>
      </w:r>
      <w:r w:rsidR="00906D37" w:rsidRPr="00AD68B2">
        <w:rPr>
          <w:rFonts w:asciiTheme="minorHAnsi" w:hAnsiTheme="minorHAnsi" w:cstheme="minorHAnsi"/>
          <w:szCs w:val="20"/>
        </w:rPr>
        <w:t xml:space="preserve">IC à </w:t>
      </w:r>
      <w:r w:rsidR="00F9238F" w:rsidRPr="00AD68B2">
        <w:rPr>
          <w:rFonts w:asciiTheme="minorHAnsi" w:hAnsiTheme="minorHAnsi" w:cstheme="minorHAnsi"/>
          <w:szCs w:val="20"/>
        </w:rPr>
        <w:t>95%: 0.25-0.76)</w:t>
      </w:r>
      <w:r w:rsidR="000A5C9A" w:rsidRPr="00AD68B2">
        <w:rPr>
          <w:rFonts w:asciiTheme="minorHAnsi" w:hAnsiTheme="minorHAnsi" w:cstheme="minorHAnsi"/>
          <w:szCs w:val="20"/>
        </w:rPr>
        <w:t xml:space="preserve"> </w:t>
      </w:r>
      <w:r w:rsidR="00C84B52" w:rsidRPr="00AD68B2">
        <w:rPr>
          <w:rFonts w:asciiTheme="minorHAnsi" w:hAnsiTheme="minorHAnsi" w:cstheme="minorHAnsi"/>
          <w:szCs w:val="20"/>
        </w:rPr>
        <w:t xml:space="preserve">et une </w:t>
      </w:r>
      <w:r w:rsidR="003B56D1" w:rsidRPr="00AD68B2">
        <w:rPr>
          <w:rFonts w:asciiTheme="minorHAnsi" w:hAnsiTheme="minorHAnsi" w:cstheme="minorHAnsi"/>
          <w:szCs w:val="20"/>
        </w:rPr>
        <w:t>survie</w:t>
      </w:r>
      <w:r w:rsidR="00C84B52" w:rsidRPr="00AD68B2">
        <w:rPr>
          <w:rFonts w:asciiTheme="minorHAnsi" w:hAnsiTheme="minorHAnsi" w:cstheme="minorHAnsi"/>
          <w:szCs w:val="20"/>
        </w:rPr>
        <w:t xml:space="preserve"> à 5 ans chez 94% des patients sous </w:t>
      </w:r>
      <w:proofErr w:type="spellStart"/>
      <w:r w:rsidR="00C84B52" w:rsidRPr="00AD68B2">
        <w:rPr>
          <w:rFonts w:asciiTheme="minorHAnsi" w:hAnsiTheme="minorHAnsi" w:cstheme="minorHAnsi"/>
          <w:szCs w:val="20"/>
        </w:rPr>
        <w:t>osimertinib</w:t>
      </w:r>
      <w:proofErr w:type="spellEnd"/>
      <w:r w:rsidR="00C84B52" w:rsidRPr="00AD68B2">
        <w:rPr>
          <w:rFonts w:asciiTheme="minorHAnsi" w:hAnsiTheme="minorHAnsi" w:cstheme="minorHAnsi"/>
          <w:szCs w:val="20"/>
        </w:rPr>
        <w:t xml:space="preserve"> versus 88% des patients sous placebo (HR=0.44; IC 95%: 0.17-1.02).</w:t>
      </w:r>
    </w:p>
    <w:p w14:paraId="405733A0" w14:textId="55DFB05A" w:rsidR="001F0BCB" w:rsidRPr="00AE4856" w:rsidRDefault="001F0BCB" w:rsidP="00FD73B2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  <w:i/>
          <w:highlight w:val="cyan"/>
        </w:rPr>
        <w:t xml:space="preserve">Stade </w:t>
      </w:r>
      <w:proofErr w:type="gramStart"/>
      <w:r>
        <w:rPr>
          <w:rFonts w:asciiTheme="minorHAnsi" w:hAnsiTheme="minorHAnsi"/>
          <w:i/>
          <w:highlight w:val="cyan"/>
        </w:rPr>
        <w:t>II:</w:t>
      </w:r>
      <w:proofErr w:type="gramEnd"/>
      <w:r>
        <w:rPr>
          <w:rFonts w:asciiTheme="minorHAnsi" w:hAnsiTheme="minorHAnsi"/>
        </w:rPr>
        <w:t xml:space="preserve"> </w:t>
      </w:r>
      <w:r w:rsidR="008C27E4">
        <w:rPr>
          <w:rFonts w:asciiTheme="minorHAnsi" w:hAnsiTheme="minorHAnsi"/>
        </w:rPr>
        <w:t xml:space="preserve">une DFS à 4 ans chez 75% des patients sous </w:t>
      </w:r>
      <w:proofErr w:type="spellStart"/>
      <w:r w:rsidR="008C27E4">
        <w:rPr>
          <w:rFonts w:asciiTheme="minorHAnsi" w:hAnsiTheme="minorHAnsi"/>
        </w:rPr>
        <w:t>osimertinib</w:t>
      </w:r>
      <w:proofErr w:type="spellEnd"/>
      <w:r w:rsidR="008C27E4">
        <w:rPr>
          <w:rFonts w:asciiTheme="minorHAnsi" w:hAnsiTheme="minorHAnsi"/>
        </w:rPr>
        <w:t xml:space="preserve"> versus </w:t>
      </w:r>
      <w:r w:rsidR="002D6D2D">
        <w:rPr>
          <w:rFonts w:asciiTheme="minorHAnsi" w:hAnsiTheme="minorHAnsi"/>
        </w:rPr>
        <w:t>43</w:t>
      </w:r>
      <w:r w:rsidR="008C27E4">
        <w:rPr>
          <w:rFonts w:asciiTheme="minorHAnsi" w:hAnsiTheme="minorHAnsi"/>
        </w:rPr>
        <w:t>% des patients sous placebo</w:t>
      </w:r>
      <w:r w:rsidR="009408CC">
        <w:rPr>
          <w:rFonts w:asciiTheme="minorHAnsi" w:hAnsiTheme="minorHAnsi"/>
        </w:rPr>
        <w:t xml:space="preserve"> </w:t>
      </w:r>
      <w:r w:rsidR="009408CC" w:rsidRPr="00AD68B2">
        <w:rPr>
          <w:rFonts w:asciiTheme="minorHAnsi" w:hAnsiTheme="minorHAnsi" w:cstheme="minorHAnsi"/>
          <w:szCs w:val="20"/>
        </w:rPr>
        <w:t xml:space="preserve">(HR=0.33; </w:t>
      </w:r>
      <w:r w:rsidR="00906D37" w:rsidRPr="00AD68B2">
        <w:rPr>
          <w:rFonts w:asciiTheme="minorHAnsi" w:hAnsiTheme="minorHAnsi" w:cstheme="minorHAnsi"/>
          <w:szCs w:val="20"/>
        </w:rPr>
        <w:t xml:space="preserve">IC à </w:t>
      </w:r>
      <w:r w:rsidR="009408CC" w:rsidRPr="00AD68B2">
        <w:rPr>
          <w:rFonts w:asciiTheme="minorHAnsi" w:hAnsiTheme="minorHAnsi" w:cstheme="minorHAnsi"/>
          <w:szCs w:val="20"/>
        </w:rPr>
        <w:t>95%: 0.21-0.50)</w:t>
      </w:r>
      <w:r w:rsidR="00E836B7" w:rsidRPr="00AD68B2">
        <w:rPr>
          <w:rFonts w:asciiTheme="minorHAnsi" w:hAnsiTheme="minorHAnsi" w:cstheme="minorHAnsi"/>
          <w:szCs w:val="20"/>
        </w:rPr>
        <w:t xml:space="preserve"> et une </w:t>
      </w:r>
      <w:r w:rsidR="003B56D1" w:rsidRPr="00AD68B2">
        <w:rPr>
          <w:rFonts w:asciiTheme="minorHAnsi" w:hAnsiTheme="minorHAnsi" w:cstheme="minorHAnsi"/>
          <w:szCs w:val="20"/>
        </w:rPr>
        <w:t>survie</w:t>
      </w:r>
      <w:r w:rsidR="00E836B7" w:rsidRPr="00AD68B2">
        <w:rPr>
          <w:rFonts w:asciiTheme="minorHAnsi" w:hAnsiTheme="minorHAnsi" w:cstheme="minorHAnsi"/>
          <w:szCs w:val="20"/>
        </w:rPr>
        <w:t xml:space="preserve"> à 5 ans chez 85% des patients sous </w:t>
      </w:r>
      <w:proofErr w:type="spellStart"/>
      <w:r w:rsidR="00E836B7" w:rsidRPr="00AD68B2">
        <w:rPr>
          <w:rFonts w:asciiTheme="minorHAnsi" w:hAnsiTheme="minorHAnsi" w:cstheme="minorHAnsi"/>
          <w:szCs w:val="20"/>
        </w:rPr>
        <w:t>osimertinib</w:t>
      </w:r>
      <w:proofErr w:type="spellEnd"/>
      <w:r w:rsidR="00E836B7" w:rsidRPr="00AD68B2">
        <w:rPr>
          <w:rFonts w:asciiTheme="minorHAnsi" w:hAnsiTheme="minorHAnsi" w:cstheme="minorHAnsi"/>
          <w:szCs w:val="20"/>
        </w:rPr>
        <w:t xml:space="preserve"> versus 78% des patients sous placebo (HR=0.63; IC 95%: 0.34-1.12).</w:t>
      </w:r>
    </w:p>
    <w:p w14:paraId="7104F45C" w14:textId="7EA9CC61" w:rsidR="00AE4856" w:rsidRPr="00297740" w:rsidRDefault="001F0BCB" w:rsidP="00254803">
      <w:pPr>
        <w:spacing w:after="12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  <w:i/>
          <w:highlight w:val="cyan"/>
        </w:rPr>
        <w:lastRenderedPageBreak/>
        <w:t xml:space="preserve">Stade </w:t>
      </w:r>
      <w:proofErr w:type="gramStart"/>
      <w:r>
        <w:rPr>
          <w:rFonts w:asciiTheme="minorHAnsi" w:hAnsiTheme="minorHAnsi"/>
          <w:i/>
          <w:highlight w:val="cyan"/>
        </w:rPr>
        <w:t>IIIA:</w:t>
      </w:r>
      <w:proofErr w:type="gramEnd"/>
      <w:r>
        <w:rPr>
          <w:rFonts w:asciiTheme="minorHAnsi" w:hAnsiTheme="minorHAnsi"/>
        </w:rPr>
        <w:t xml:space="preserve"> </w:t>
      </w:r>
      <w:r w:rsidR="00CE7BD1">
        <w:rPr>
          <w:rFonts w:asciiTheme="minorHAnsi" w:hAnsiTheme="minorHAnsi"/>
        </w:rPr>
        <w:t xml:space="preserve">une DFS à 4 ans chez </w:t>
      </w:r>
      <w:r w:rsidR="005D6C3B">
        <w:rPr>
          <w:rFonts w:asciiTheme="minorHAnsi" w:hAnsiTheme="minorHAnsi"/>
        </w:rPr>
        <w:t>66</w:t>
      </w:r>
      <w:r w:rsidR="00CE7BD1">
        <w:rPr>
          <w:rFonts w:asciiTheme="minorHAnsi" w:hAnsiTheme="minorHAnsi"/>
        </w:rPr>
        <w:t xml:space="preserve">% des patients sous </w:t>
      </w:r>
      <w:proofErr w:type="spellStart"/>
      <w:r w:rsidR="00CE7BD1">
        <w:rPr>
          <w:rFonts w:asciiTheme="minorHAnsi" w:hAnsiTheme="minorHAnsi"/>
        </w:rPr>
        <w:t>osimertinib</w:t>
      </w:r>
      <w:proofErr w:type="spellEnd"/>
      <w:r w:rsidR="00CE7BD1">
        <w:rPr>
          <w:rFonts w:asciiTheme="minorHAnsi" w:hAnsiTheme="minorHAnsi"/>
        </w:rPr>
        <w:t xml:space="preserve"> versus </w:t>
      </w:r>
      <w:r w:rsidR="005D6C3B">
        <w:rPr>
          <w:rFonts w:asciiTheme="minorHAnsi" w:hAnsiTheme="minorHAnsi"/>
        </w:rPr>
        <w:t>16</w:t>
      </w:r>
      <w:r w:rsidR="00CE7BD1">
        <w:rPr>
          <w:rFonts w:asciiTheme="minorHAnsi" w:hAnsiTheme="minorHAnsi"/>
        </w:rPr>
        <w:t>% des patients sous placebo</w:t>
      </w:r>
      <w:r w:rsidR="00CC2AD9">
        <w:rPr>
          <w:rFonts w:asciiTheme="minorHAnsi" w:hAnsiTheme="minorHAnsi"/>
        </w:rPr>
        <w:t xml:space="preserve"> </w:t>
      </w:r>
      <w:r w:rsidR="00CC2AD9" w:rsidRPr="00AD68B2">
        <w:rPr>
          <w:rFonts w:asciiTheme="minorHAnsi" w:hAnsiTheme="minorHAnsi" w:cstheme="minorHAnsi"/>
          <w:szCs w:val="20"/>
        </w:rPr>
        <w:t xml:space="preserve">(HR=0.22; </w:t>
      </w:r>
      <w:r w:rsidR="00906D37" w:rsidRPr="00AD68B2">
        <w:rPr>
          <w:rFonts w:asciiTheme="minorHAnsi" w:hAnsiTheme="minorHAnsi" w:cstheme="minorHAnsi"/>
          <w:szCs w:val="20"/>
        </w:rPr>
        <w:t xml:space="preserve">IC à </w:t>
      </w:r>
      <w:r w:rsidR="00CC2AD9" w:rsidRPr="00AD68B2">
        <w:rPr>
          <w:rFonts w:asciiTheme="minorHAnsi" w:hAnsiTheme="minorHAnsi" w:cstheme="minorHAnsi"/>
          <w:szCs w:val="20"/>
        </w:rPr>
        <w:t>95%: 0.15-0.31)</w:t>
      </w:r>
      <w:r w:rsidR="00FB6E34" w:rsidRPr="00AD68B2">
        <w:rPr>
          <w:rFonts w:asciiTheme="minorHAnsi" w:hAnsiTheme="minorHAnsi" w:cstheme="minorHAnsi"/>
          <w:szCs w:val="20"/>
        </w:rPr>
        <w:t xml:space="preserve"> </w:t>
      </w:r>
      <w:r w:rsidR="00D46033" w:rsidRPr="00AD68B2">
        <w:rPr>
          <w:rFonts w:asciiTheme="minorHAnsi" w:hAnsiTheme="minorHAnsi" w:cstheme="minorHAnsi"/>
          <w:szCs w:val="20"/>
        </w:rPr>
        <w:t xml:space="preserve">et une survie à 5 ans chez 85% des patients sous </w:t>
      </w:r>
      <w:proofErr w:type="spellStart"/>
      <w:r w:rsidR="00D46033" w:rsidRPr="00AD68B2">
        <w:rPr>
          <w:rFonts w:asciiTheme="minorHAnsi" w:hAnsiTheme="minorHAnsi" w:cstheme="minorHAnsi"/>
          <w:szCs w:val="20"/>
        </w:rPr>
        <w:t>osimertinib</w:t>
      </w:r>
      <w:proofErr w:type="spellEnd"/>
      <w:r w:rsidR="00D46033" w:rsidRPr="00AD68B2">
        <w:rPr>
          <w:rFonts w:asciiTheme="minorHAnsi" w:hAnsiTheme="minorHAnsi" w:cstheme="minorHAnsi"/>
          <w:szCs w:val="20"/>
        </w:rPr>
        <w:t xml:space="preserve"> contre 67% des patients sous placebo (HR=0</w:t>
      </w:r>
      <w:r w:rsidR="00E63BD0" w:rsidRPr="00AD68B2">
        <w:rPr>
          <w:rFonts w:asciiTheme="minorHAnsi" w:hAnsiTheme="minorHAnsi" w:cstheme="minorHAnsi"/>
          <w:szCs w:val="20"/>
        </w:rPr>
        <w:t>.</w:t>
      </w:r>
      <w:r w:rsidR="00D46033" w:rsidRPr="00AD68B2">
        <w:rPr>
          <w:rFonts w:asciiTheme="minorHAnsi" w:hAnsiTheme="minorHAnsi" w:cstheme="minorHAnsi"/>
          <w:szCs w:val="20"/>
        </w:rPr>
        <w:t>37; IC 95%: 0</w:t>
      </w:r>
      <w:r w:rsidR="00E63BD0" w:rsidRPr="00AD68B2">
        <w:rPr>
          <w:rFonts w:asciiTheme="minorHAnsi" w:hAnsiTheme="minorHAnsi" w:cstheme="minorHAnsi"/>
          <w:szCs w:val="20"/>
        </w:rPr>
        <w:t>.</w:t>
      </w:r>
      <w:r w:rsidR="00D46033" w:rsidRPr="00AD68B2">
        <w:rPr>
          <w:rFonts w:asciiTheme="minorHAnsi" w:hAnsiTheme="minorHAnsi" w:cstheme="minorHAnsi"/>
          <w:szCs w:val="20"/>
        </w:rPr>
        <w:t>20-0</w:t>
      </w:r>
      <w:r w:rsidR="00E63BD0" w:rsidRPr="00AD68B2">
        <w:rPr>
          <w:rFonts w:asciiTheme="minorHAnsi" w:hAnsiTheme="minorHAnsi" w:cstheme="minorHAnsi"/>
          <w:szCs w:val="20"/>
        </w:rPr>
        <w:t>.</w:t>
      </w:r>
      <w:r w:rsidR="00D46033" w:rsidRPr="00AD68B2">
        <w:rPr>
          <w:rFonts w:asciiTheme="minorHAnsi" w:hAnsiTheme="minorHAnsi" w:cstheme="minorHAnsi"/>
          <w:szCs w:val="20"/>
        </w:rPr>
        <w:t>64).</w:t>
      </w:r>
    </w:p>
    <w:p w14:paraId="157285C3" w14:textId="59D23C2A" w:rsidR="00333A20" w:rsidRPr="00B95089" w:rsidRDefault="007B16BF" w:rsidP="007008B2">
      <w:pPr>
        <w:spacing w:line="276" w:lineRule="auto"/>
        <w:rPr>
          <w:rFonts w:asciiTheme="minorHAnsi" w:hAnsiTheme="minorHAnsi"/>
        </w:rPr>
      </w:pPr>
      <w:r w:rsidRPr="007B16BF">
        <w:rPr>
          <w:rFonts w:asciiTheme="minorHAnsi" w:hAnsiTheme="minorHAnsi"/>
        </w:rPr>
        <w:t xml:space="preserve">Les sites les plus fréquents de la première </w:t>
      </w:r>
      <w:r w:rsidRPr="00FE0813">
        <w:rPr>
          <w:rFonts w:asciiTheme="minorHAnsi" w:hAnsiTheme="minorHAnsi"/>
          <w:b/>
          <w:bCs/>
        </w:rPr>
        <w:t>récidive</w:t>
      </w:r>
      <w:r w:rsidRPr="007B16BF">
        <w:rPr>
          <w:rFonts w:asciiTheme="minorHAnsi" w:hAnsiTheme="minorHAnsi"/>
        </w:rPr>
        <w:t xml:space="preserve"> étaient les poumons (12%), les ganglions lymphatiques (6%) et le SNC (6%) dans le groupe </w:t>
      </w:r>
      <w:proofErr w:type="spellStart"/>
      <w:r w:rsidRPr="007B16BF">
        <w:rPr>
          <w:rFonts w:asciiTheme="minorHAnsi" w:hAnsiTheme="minorHAnsi"/>
        </w:rPr>
        <w:t>osimertinib</w:t>
      </w:r>
      <w:proofErr w:type="spellEnd"/>
      <w:r w:rsidRPr="007B16BF">
        <w:rPr>
          <w:rFonts w:asciiTheme="minorHAnsi" w:hAnsiTheme="minorHAnsi"/>
        </w:rPr>
        <w:t>, et les poumons (26%), les ganglions lymphatiques (17%) et le SNC (11%) dans le groupe placebo.</w:t>
      </w:r>
      <w:r>
        <w:rPr>
          <w:rFonts w:asciiTheme="minorHAnsi" w:hAnsiTheme="minorHAnsi"/>
        </w:rPr>
        <w:t xml:space="preserve"> </w:t>
      </w:r>
      <w:r w:rsidR="000E4556" w:rsidRPr="000E4556">
        <w:rPr>
          <w:rFonts w:asciiTheme="minorHAnsi" w:hAnsiTheme="minorHAnsi"/>
        </w:rPr>
        <w:t xml:space="preserve">Le traitement adjuvant par </w:t>
      </w:r>
      <w:proofErr w:type="spellStart"/>
      <w:r w:rsidR="000E4556" w:rsidRPr="000E4556">
        <w:rPr>
          <w:rFonts w:asciiTheme="minorHAnsi" w:hAnsiTheme="minorHAnsi"/>
        </w:rPr>
        <w:t>osimertinib</w:t>
      </w:r>
      <w:proofErr w:type="spellEnd"/>
      <w:r w:rsidR="000E4556" w:rsidRPr="000E4556">
        <w:rPr>
          <w:rFonts w:asciiTheme="minorHAnsi" w:hAnsiTheme="minorHAnsi"/>
        </w:rPr>
        <w:t xml:space="preserve"> a réduit de 76% le risque de récidive </w:t>
      </w:r>
      <w:r w:rsidR="001B5F7B">
        <w:rPr>
          <w:rFonts w:asciiTheme="minorHAnsi" w:hAnsiTheme="minorHAnsi"/>
        </w:rPr>
        <w:t xml:space="preserve">du SNC </w:t>
      </w:r>
      <w:r w:rsidR="000E4556" w:rsidRPr="000E4556">
        <w:rPr>
          <w:rFonts w:asciiTheme="minorHAnsi" w:hAnsiTheme="minorHAnsi"/>
        </w:rPr>
        <w:t>ou de décès chez les patients en stade II et IIIA (HR=0</w:t>
      </w:r>
      <w:r w:rsidR="00287D09">
        <w:rPr>
          <w:rFonts w:asciiTheme="minorHAnsi" w:hAnsiTheme="minorHAnsi"/>
        </w:rPr>
        <w:t>.</w:t>
      </w:r>
      <w:proofErr w:type="gramStart"/>
      <w:r w:rsidR="000E4556" w:rsidRPr="000E4556">
        <w:rPr>
          <w:rFonts w:asciiTheme="minorHAnsi" w:hAnsiTheme="minorHAnsi"/>
        </w:rPr>
        <w:t>24;</w:t>
      </w:r>
      <w:proofErr w:type="gramEnd"/>
      <w:r w:rsidR="000E4556" w:rsidRPr="000E4556">
        <w:rPr>
          <w:rFonts w:asciiTheme="minorHAnsi" w:hAnsiTheme="minorHAnsi"/>
        </w:rPr>
        <w:t xml:space="preserve"> IC à 95%: 0</w:t>
      </w:r>
      <w:r w:rsidR="00287D09">
        <w:rPr>
          <w:rFonts w:asciiTheme="minorHAnsi" w:hAnsiTheme="minorHAnsi"/>
        </w:rPr>
        <w:t>.</w:t>
      </w:r>
      <w:r w:rsidR="000E4556" w:rsidRPr="000E4556">
        <w:rPr>
          <w:rFonts w:asciiTheme="minorHAnsi" w:hAnsiTheme="minorHAnsi"/>
        </w:rPr>
        <w:t>14-0</w:t>
      </w:r>
      <w:r w:rsidR="00287D09">
        <w:rPr>
          <w:rFonts w:asciiTheme="minorHAnsi" w:hAnsiTheme="minorHAnsi"/>
        </w:rPr>
        <w:t>.</w:t>
      </w:r>
      <w:r w:rsidR="000E4556" w:rsidRPr="000E4556">
        <w:rPr>
          <w:rFonts w:asciiTheme="minorHAnsi" w:hAnsiTheme="minorHAnsi"/>
        </w:rPr>
        <w:t>42).</w:t>
      </w:r>
      <w:r w:rsidR="000E4556">
        <w:rPr>
          <w:rFonts w:asciiTheme="minorHAnsi" w:hAnsiTheme="minorHAnsi"/>
        </w:rPr>
        <w:t xml:space="preserve"> </w:t>
      </w:r>
    </w:p>
    <w:p w14:paraId="3A85B44A" w14:textId="2B17D448" w:rsidR="00333A20" w:rsidRPr="00B95089" w:rsidRDefault="00333A20" w:rsidP="007008B2">
      <w:pPr>
        <w:spacing w:line="276" w:lineRule="auto"/>
        <w:rPr>
          <w:rFonts w:asciiTheme="minorHAnsi" w:hAnsiTheme="minorHAnsi"/>
        </w:rPr>
      </w:pPr>
    </w:p>
    <w:p w14:paraId="4390BBFE" w14:textId="784218C3" w:rsidR="00C85F0B" w:rsidRDefault="00A54ADF" w:rsidP="00B95089">
      <w:pPr>
        <w:spacing w:line="276" w:lineRule="auto"/>
        <w:rPr>
          <w:rFonts w:asciiTheme="minorHAnsi" w:hAnsiTheme="minorHAnsi"/>
        </w:rPr>
      </w:pPr>
      <w:r w:rsidRPr="00E53595">
        <w:rPr>
          <w:rFonts w:asciiTheme="minorHAnsi" w:hAnsiTheme="minorHAnsi"/>
          <w:b/>
          <w:bCs/>
        </w:rPr>
        <w:t xml:space="preserve">Le profil de </w:t>
      </w:r>
      <w:proofErr w:type="spellStart"/>
      <w:r w:rsidR="00333A20" w:rsidRPr="00E53595">
        <w:rPr>
          <w:rFonts w:asciiTheme="minorHAnsi" w:hAnsiTheme="minorHAnsi"/>
          <w:b/>
          <w:bCs/>
        </w:rPr>
        <w:t>tolérabilité</w:t>
      </w:r>
      <w:proofErr w:type="spellEnd"/>
      <w:r w:rsidR="00333A2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 l’</w:t>
      </w:r>
      <w:proofErr w:type="spellStart"/>
      <w:r>
        <w:rPr>
          <w:rFonts w:asciiTheme="minorHAnsi" w:hAnsiTheme="minorHAnsi"/>
        </w:rPr>
        <w:t>osimertinib</w:t>
      </w:r>
      <w:proofErr w:type="spellEnd"/>
      <w:r>
        <w:rPr>
          <w:rFonts w:asciiTheme="minorHAnsi" w:hAnsiTheme="minorHAnsi"/>
        </w:rPr>
        <w:t xml:space="preserve"> était </w:t>
      </w:r>
      <w:r w:rsidR="009C6189">
        <w:rPr>
          <w:rFonts w:asciiTheme="minorHAnsi" w:hAnsiTheme="minorHAnsi"/>
        </w:rPr>
        <w:t>modéré</w:t>
      </w:r>
      <w:r>
        <w:rPr>
          <w:rFonts w:asciiTheme="minorHAnsi" w:hAnsiTheme="minorHAnsi"/>
        </w:rPr>
        <w:t xml:space="preserve">, avec </w:t>
      </w:r>
      <w:r w:rsidR="00DE03F3">
        <w:rPr>
          <w:rFonts w:asciiTheme="minorHAnsi" w:hAnsiTheme="minorHAnsi"/>
        </w:rPr>
        <w:t xml:space="preserve">principalement </w:t>
      </w:r>
      <w:r>
        <w:rPr>
          <w:rFonts w:asciiTheme="minorHAnsi" w:hAnsiTheme="minorHAnsi"/>
        </w:rPr>
        <w:t xml:space="preserve">des effets indésirables de grade 1-2. Avec une durée médiane de traitement de </w:t>
      </w:r>
      <w:r w:rsidR="00A338AB">
        <w:rPr>
          <w:rFonts w:asciiTheme="minorHAnsi" w:hAnsiTheme="minorHAnsi"/>
        </w:rPr>
        <w:t>35.8</w:t>
      </w:r>
      <w:r>
        <w:rPr>
          <w:rFonts w:asciiTheme="minorHAnsi" w:hAnsiTheme="minorHAnsi"/>
        </w:rPr>
        <w:t xml:space="preserve"> mois, les diarrhées (grade 1–</w:t>
      </w:r>
      <w:proofErr w:type="gramStart"/>
      <w:r>
        <w:rPr>
          <w:rFonts w:asciiTheme="minorHAnsi" w:hAnsiTheme="minorHAnsi"/>
        </w:rPr>
        <w:t>2:</w:t>
      </w:r>
      <w:proofErr w:type="gramEnd"/>
      <w:r>
        <w:rPr>
          <w:rFonts w:asciiTheme="minorHAnsi" w:hAnsiTheme="minorHAnsi"/>
        </w:rPr>
        <w:t xml:space="preserve"> </w:t>
      </w:r>
      <w:r w:rsidR="00582B4E">
        <w:rPr>
          <w:rFonts w:asciiTheme="minorHAnsi" w:hAnsiTheme="minorHAnsi"/>
        </w:rPr>
        <w:t>44</w:t>
      </w:r>
      <w:r>
        <w:rPr>
          <w:rFonts w:asciiTheme="minorHAnsi" w:hAnsiTheme="minorHAnsi"/>
        </w:rPr>
        <w:t xml:space="preserve">%, grade 3–4: </w:t>
      </w:r>
      <w:r w:rsidR="006A0D45">
        <w:rPr>
          <w:rFonts w:asciiTheme="minorHAnsi" w:hAnsiTheme="minorHAnsi"/>
        </w:rPr>
        <w:t>3</w:t>
      </w:r>
      <w:r>
        <w:rPr>
          <w:rFonts w:asciiTheme="minorHAnsi" w:hAnsiTheme="minorHAnsi"/>
        </w:rPr>
        <w:t>%), la paronychie (</w:t>
      </w:r>
      <w:r w:rsidR="006A0D45">
        <w:rPr>
          <w:rFonts w:asciiTheme="minorHAnsi" w:hAnsiTheme="minorHAnsi"/>
        </w:rPr>
        <w:t>26</w:t>
      </w:r>
      <w:r>
        <w:rPr>
          <w:rFonts w:asciiTheme="minorHAnsi" w:hAnsiTheme="minorHAnsi"/>
        </w:rPr>
        <w:t>%; 1%), la sécheresse cutanée (</w:t>
      </w:r>
      <w:r w:rsidR="00FC670E">
        <w:rPr>
          <w:rFonts w:asciiTheme="minorHAnsi" w:hAnsiTheme="minorHAnsi"/>
        </w:rPr>
        <w:t>24</w:t>
      </w:r>
      <w:r>
        <w:rPr>
          <w:rFonts w:asciiTheme="minorHAnsi" w:hAnsiTheme="minorHAnsi"/>
        </w:rPr>
        <w:t xml:space="preserve">%; </w:t>
      </w:r>
      <w:r w:rsidR="00704B21">
        <w:rPr>
          <w:rFonts w:asciiTheme="minorHAnsi" w:hAnsiTheme="minorHAnsi"/>
        </w:rPr>
        <w:t>&lt;1</w:t>
      </w:r>
      <w:r>
        <w:rPr>
          <w:rFonts w:asciiTheme="minorHAnsi" w:hAnsiTheme="minorHAnsi"/>
        </w:rPr>
        <w:t>%), le prurit (</w:t>
      </w:r>
      <w:r w:rsidR="00704B21">
        <w:rPr>
          <w:rFonts w:asciiTheme="minorHAnsi" w:hAnsiTheme="minorHAnsi"/>
        </w:rPr>
        <w:t>21</w:t>
      </w:r>
      <w:r>
        <w:rPr>
          <w:rFonts w:asciiTheme="minorHAnsi" w:hAnsiTheme="minorHAnsi"/>
        </w:rPr>
        <w:t>%; 0%), la toux (</w:t>
      </w:r>
      <w:r w:rsidR="00704B21">
        <w:rPr>
          <w:rFonts w:asciiTheme="minorHAnsi" w:hAnsiTheme="minorHAnsi"/>
        </w:rPr>
        <w:t>20</w:t>
      </w:r>
      <w:r>
        <w:rPr>
          <w:rFonts w:asciiTheme="minorHAnsi" w:hAnsiTheme="minorHAnsi"/>
        </w:rPr>
        <w:t>%; 0%) et la stomatite (</w:t>
      </w:r>
      <w:r w:rsidR="00704B21">
        <w:rPr>
          <w:rFonts w:asciiTheme="minorHAnsi" w:hAnsiTheme="minorHAnsi"/>
        </w:rPr>
        <w:t>16</w:t>
      </w:r>
      <w:r>
        <w:rPr>
          <w:rFonts w:asciiTheme="minorHAnsi" w:hAnsiTheme="minorHAnsi"/>
        </w:rPr>
        <w:t xml:space="preserve">%; 2%) étaient les effets indésirables les plus fréquents. </w:t>
      </w:r>
      <w:r w:rsidR="006340BB">
        <w:rPr>
          <w:rFonts w:asciiTheme="minorHAnsi" w:hAnsiTheme="minorHAnsi"/>
        </w:rPr>
        <w:t>Dans l’ensemble</w:t>
      </w:r>
      <w:r>
        <w:rPr>
          <w:rFonts w:asciiTheme="minorHAnsi" w:hAnsiTheme="minorHAnsi"/>
        </w:rPr>
        <w:t xml:space="preserve">, des événements indésirables de grade 3 et plus sont survenus chez </w:t>
      </w:r>
      <w:r w:rsidR="00B3771D">
        <w:rPr>
          <w:rFonts w:asciiTheme="minorHAnsi" w:hAnsiTheme="minorHAnsi"/>
        </w:rPr>
        <w:t>23</w:t>
      </w:r>
      <w:r>
        <w:rPr>
          <w:rFonts w:asciiTheme="minorHAnsi" w:hAnsiTheme="minorHAnsi"/>
        </w:rPr>
        <w:t xml:space="preserve">% des patients sous </w:t>
      </w:r>
      <w:proofErr w:type="spellStart"/>
      <w:r>
        <w:rPr>
          <w:rFonts w:asciiTheme="minorHAnsi" w:hAnsiTheme="minorHAnsi"/>
        </w:rPr>
        <w:t>osimertinib</w:t>
      </w:r>
      <w:proofErr w:type="spellEnd"/>
      <w:r>
        <w:rPr>
          <w:rFonts w:asciiTheme="minorHAnsi" w:hAnsiTheme="minorHAnsi"/>
        </w:rPr>
        <w:t xml:space="preserve">, respectivement contre </w:t>
      </w:r>
      <w:r w:rsidR="001769DA">
        <w:rPr>
          <w:rFonts w:asciiTheme="minorHAnsi" w:hAnsiTheme="minorHAnsi"/>
        </w:rPr>
        <w:t>14</w:t>
      </w:r>
      <w:r>
        <w:rPr>
          <w:rFonts w:asciiTheme="minorHAnsi" w:hAnsiTheme="minorHAnsi"/>
        </w:rPr>
        <w:t>% des patients sous placebo.</w:t>
      </w:r>
    </w:p>
    <w:p w14:paraId="0AF67113" w14:textId="77777777" w:rsidR="007C3A41" w:rsidRDefault="007C3A41" w:rsidP="00254803">
      <w:pPr>
        <w:spacing w:after="120" w:line="276" w:lineRule="auto"/>
        <w:rPr>
          <w:rFonts w:asciiTheme="minorHAnsi" w:hAnsiTheme="minorHAnsi"/>
          <w:b/>
          <w:bCs/>
        </w:rPr>
      </w:pPr>
    </w:p>
    <w:p w14:paraId="21EDCE89" w14:textId="534B4DD9" w:rsidR="00333A20" w:rsidRDefault="005E7A61" w:rsidP="00254803">
      <w:pPr>
        <w:spacing w:after="120" w:line="276" w:lineRule="auto"/>
        <w:rPr>
          <w:rFonts w:asciiTheme="minorHAnsi" w:hAnsiTheme="minorHAnsi"/>
        </w:rPr>
      </w:pPr>
      <w:r w:rsidRPr="0054016F">
        <w:rPr>
          <w:rFonts w:asciiTheme="minorHAnsi" w:hAnsiTheme="minorHAnsi"/>
        </w:rPr>
        <w:t xml:space="preserve">L’Osimertinib </w:t>
      </w:r>
      <w:r w:rsidR="00E47E9E" w:rsidRPr="0054016F">
        <w:rPr>
          <w:rFonts w:asciiTheme="minorHAnsi" w:hAnsiTheme="minorHAnsi"/>
        </w:rPr>
        <w:t xml:space="preserve">s’est donc révélé être une option thérapeutique adjuvante très efficace et bien tolérée </w:t>
      </w:r>
      <w:r w:rsidR="00D83DC4" w:rsidRPr="0054016F">
        <w:rPr>
          <w:rFonts w:asciiTheme="minorHAnsi" w:hAnsiTheme="minorHAnsi"/>
        </w:rPr>
        <w:t xml:space="preserve">sans </w:t>
      </w:r>
      <w:r w:rsidRPr="0054016F">
        <w:rPr>
          <w:rFonts w:asciiTheme="minorHAnsi" w:hAnsiTheme="minorHAnsi"/>
        </w:rPr>
        <w:t xml:space="preserve">compromettre </w:t>
      </w:r>
      <w:r w:rsidR="00D83DC4" w:rsidRPr="0054016F">
        <w:rPr>
          <w:rFonts w:asciiTheme="minorHAnsi" w:hAnsiTheme="minorHAnsi"/>
        </w:rPr>
        <w:t xml:space="preserve">la qualité de vie </w:t>
      </w:r>
      <w:r w:rsidRPr="0054016F">
        <w:rPr>
          <w:rFonts w:asciiTheme="minorHAnsi" w:hAnsiTheme="minorHAnsi"/>
        </w:rPr>
        <w:t xml:space="preserve">des </w:t>
      </w:r>
      <w:r w:rsidR="00E47E9E" w:rsidRPr="0054016F">
        <w:rPr>
          <w:rFonts w:asciiTheme="minorHAnsi" w:hAnsiTheme="minorHAnsi"/>
        </w:rPr>
        <w:t>patients atteints d</w:t>
      </w:r>
      <w:r w:rsidR="00333A20" w:rsidRPr="0054016F">
        <w:rPr>
          <w:rFonts w:asciiTheme="minorHAnsi" w:hAnsiTheme="minorHAnsi"/>
        </w:rPr>
        <w:t>’un</w:t>
      </w:r>
      <w:r w:rsidR="00D83DC4" w:rsidRPr="0054016F">
        <w:rPr>
          <w:rFonts w:asciiTheme="minorHAnsi" w:hAnsiTheme="minorHAnsi"/>
        </w:rPr>
        <w:t xml:space="preserve"> </w:t>
      </w:r>
      <w:r w:rsidR="00E47E9E" w:rsidRPr="0054016F">
        <w:rPr>
          <w:rFonts w:asciiTheme="minorHAnsi" w:hAnsiTheme="minorHAnsi"/>
        </w:rPr>
        <w:t xml:space="preserve">cancer bronchique non à petites cellules avec mutation </w:t>
      </w:r>
      <w:r w:rsidR="00333A20" w:rsidRPr="0054016F">
        <w:rPr>
          <w:rFonts w:asciiTheme="minorHAnsi" w:hAnsiTheme="minorHAnsi"/>
        </w:rPr>
        <w:t>de l’</w:t>
      </w:r>
      <w:r w:rsidR="00E47E9E" w:rsidRPr="0054016F">
        <w:rPr>
          <w:rFonts w:asciiTheme="minorHAnsi" w:hAnsiTheme="minorHAnsi"/>
        </w:rPr>
        <w:t xml:space="preserve">EGFR après </w:t>
      </w:r>
      <w:r w:rsidR="00A51B34" w:rsidRPr="0054016F">
        <w:rPr>
          <w:rFonts w:asciiTheme="minorHAnsi" w:hAnsiTheme="minorHAnsi"/>
        </w:rPr>
        <w:t xml:space="preserve">une </w:t>
      </w:r>
      <w:r w:rsidR="00E47E9E" w:rsidRPr="0054016F">
        <w:rPr>
          <w:rFonts w:asciiTheme="minorHAnsi" w:hAnsiTheme="minorHAnsi"/>
        </w:rPr>
        <w:t>résection</w:t>
      </w:r>
      <w:r w:rsidR="00E47E9E">
        <w:rPr>
          <w:rFonts w:asciiTheme="minorHAnsi" w:hAnsiTheme="minorHAnsi"/>
        </w:rPr>
        <w:t xml:space="preserve"> complète de la tumeur avec ou sans chimiothérapie adjuvante. Il n’existe actuellement </w:t>
      </w:r>
      <w:r w:rsidR="00E47E9E">
        <w:rPr>
          <w:rFonts w:asciiTheme="minorHAnsi" w:hAnsiTheme="minorHAnsi"/>
          <w:u w:val="single"/>
        </w:rPr>
        <w:t>aucune option thérapeutique alternative</w:t>
      </w:r>
      <w:r w:rsidR="00FC0002">
        <w:rPr>
          <w:rFonts w:asciiTheme="minorHAnsi" w:hAnsiTheme="minorHAnsi"/>
          <w:u w:val="single"/>
        </w:rPr>
        <w:t xml:space="preserve"> approuvée</w:t>
      </w:r>
      <w:r w:rsidR="00E47E9E">
        <w:rPr>
          <w:rFonts w:asciiTheme="minorHAnsi" w:hAnsiTheme="minorHAnsi"/>
        </w:rPr>
        <w:t xml:space="preserve"> </w:t>
      </w:r>
      <w:r w:rsidR="00FC0002">
        <w:rPr>
          <w:rFonts w:asciiTheme="minorHAnsi" w:hAnsiTheme="minorHAnsi"/>
        </w:rPr>
        <w:t>à la thérapie</w:t>
      </w:r>
      <w:r w:rsidR="00E47E9E">
        <w:rPr>
          <w:rFonts w:asciiTheme="minorHAnsi" w:hAnsiTheme="minorHAnsi"/>
        </w:rPr>
        <w:t xml:space="preserve"> adjuvant</w:t>
      </w:r>
      <w:r w:rsidR="00FC0002">
        <w:rPr>
          <w:rFonts w:asciiTheme="minorHAnsi" w:hAnsiTheme="minorHAnsi"/>
        </w:rPr>
        <w:t>e</w:t>
      </w:r>
      <w:r w:rsidR="00E47E9E">
        <w:rPr>
          <w:rFonts w:asciiTheme="minorHAnsi" w:hAnsiTheme="minorHAnsi"/>
        </w:rPr>
        <w:t xml:space="preserve"> par l’</w:t>
      </w:r>
      <w:proofErr w:type="spellStart"/>
      <w:r w:rsidR="00E47E9E">
        <w:rPr>
          <w:rFonts w:asciiTheme="minorHAnsi" w:hAnsiTheme="minorHAnsi"/>
        </w:rPr>
        <w:t>osimertinib</w:t>
      </w:r>
      <w:proofErr w:type="spellEnd"/>
      <w:r w:rsidR="00E47E9E">
        <w:rPr>
          <w:rFonts w:asciiTheme="minorHAnsi" w:hAnsiTheme="minorHAnsi"/>
        </w:rPr>
        <w:t>.</w:t>
      </w:r>
    </w:p>
    <w:p w14:paraId="51B9DBF1" w14:textId="5DFE1751" w:rsidR="004331DA" w:rsidRPr="00254803" w:rsidRDefault="004331DA" w:rsidP="00254803">
      <w:pPr>
        <w:spacing w:after="120" w:line="276" w:lineRule="auto"/>
        <w:rPr>
          <w:rFonts w:asciiTheme="minorHAnsi" w:hAnsiTheme="minorHAnsi"/>
        </w:rPr>
      </w:pPr>
      <w:r w:rsidRPr="004331DA">
        <w:rPr>
          <w:rFonts w:asciiTheme="minorHAnsi" w:hAnsiTheme="minorHAnsi"/>
        </w:rPr>
        <w:t>L'</w:t>
      </w:r>
      <w:proofErr w:type="spellStart"/>
      <w:r w:rsidRPr="004331DA">
        <w:rPr>
          <w:rFonts w:asciiTheme="minorHAnsi" w:hAnsiTheme="minorHAnsi"/>
        </w:rPr>
        <w:t>osimertinib</w:t>
      </w:r>
      <w:proofErr w:type="spellEnd"/>
      <w:r w:rsidRPr="004331DA">
        <w:rPr>
          <w:rFonts w:asciiTheme="minorHAnsi" w:hAnsiTheme="minorHAnsi"/>
        </w:rPr>
        <w:t xml:space="preserve"> en tant que traitement adjuvant du NSCLC </w:t>
      </w:r>
      <w:proofErr w:type="spellStart"/>
      <w:r w:rsidRPr="004331DA">
        <w:rPr>
          <w:rFonts w:asciiTheme="minorHAnsi" w:hAnsiTheme="minorHAnsi"/>
        </w:rPr>
        <w:t>EGFRm</w:t>
      </w:r>
      <w:proofErr w:type="spellEnd"/>
      <w:r w:rsidRPr="004331DA">
        <w:rPr>
          <w:rFonts w:asciiTheme="minorHAnsi" w:hAnsiTheme="minorHAnsi"/>
        </w:rPr>
        <w:t xml:space="preserve"> précoce est également recommandé par les </w:t>
      </w:r>
      <w:r w:rsidR="006B561E" w:rsidRPr="0034007F">
        <w:rPr>
          <w:rFonts w:asciiTheme="minorHAnsi" w:hAnsiTheme="minorHAnsi"/>
          <w:b/>
          <w:bCs/>
        </w:rPr>
        <w:t>Guidelines</w:t>
      </w:r>
      <w:r w:rsidRPr="004331DA">
        <w:rPr>
          <w:rFonts w:asciiTheme="minorHAnsi" w:hAnsiTheme="minorHAnsi"/>
        </w:rPr>
        <w:t xml:space="preserve"> de l'ESMO</w:t>
      </w:r>
      <w:r w:rsidRPr="00AB03E8">
        <w:rPr>
          <w:rFonts w:asciiTheme="minorHAnsi" w:hAnsiTheme="minorHAnsi"/>
          <w:vertAlign w:val="superscript"/>
        </w:rPr>
        <w:t>5</w:t>
      </w:r>
      <w:r w:rsidRPr="004331DA">
        <w:rPr>
          <w:rFonts w:asciiTheme="minorHAnsi" w:hAnsiTheme="minorHAnsi"/>
        </w:rPr>
        <w:t>, du NCCN</w:t>
      </w:r>
      <w:r w:rsidRPr="00AB03E8">
        <w:rPr>
          <w:rFonts w:asciiTheme="minorHAnsi" w:hAnsiTheme="minorHAnsi"/>
          <w:vertAlign w:val="superscript"/>
        </w:rPr>
        <w:t>6</w:t>
      </w:r>
      <w:r w:rsidRPr="004331DA">
        <w:rPr>
          <w:rFonts w:asciiTheme="minorHAnsi" w:hAnsiTheme="minorHAnsi"/>
        </w:rPr>
        <w:t xml:space="preserve"> et de l'ASCO</w:t>
      </w:r>
      <w:r w:rsidRPr="00AB03E8">
        <w:rPr>
          <w:rFonts w:asciiTheme="minorHAnsi" w:hAnsiTheme="minorHAnsi"/>
          <w:vertAlign w:val="superscript"/>
        </w:rPr>
        <w:t>7</w:t>
      </w:r>
      <w:r w:rsidRPr="004331DA">
        <w:rPr>
          <w:rFonts w:asciiTheme="minorHAnsi" w:hAnsiTheme="minorHAnsi"/>
        </w:rPr>
        <w:t xml:space="preserve"> et a reçu de l'ESMO un score ESMO-MCBS (Magnitude of </w:t>
      </w:r>
      <w:proofErr w:type="spellStart"/>
      <w:r w:rsidRPr="004331DA">
        <w:rPr>
          <w:rFonts w:asciiTheme="minorHAnsi" w:hAnsiTheme="minorHAnsi"/>
        </w:rPr>
        <w:t>Clinical</w:t>
      </w:r>
      <w:proofErr w:type="spellEnd"/>
      <w:r w:rsidRPr="004331DA">
        <w:rPr>
          <w:rFonts w:asciiTheme="minorHAnsi" w:hAnsiTheme="minorHAnsi"/>
        </w:rPr>
        <w:t xml:space="preserve"> </w:t>
      </w:r>
      <w:proofErr w:type="spellStart"/>
      <w:r w:rsidRPr="004331DA">
        <w:rPr>
          <w:rFonts w:asciiTheme="minorHAnsi" w:hAnsiTheme="minorHAnsi"/>
        </w:rPr>
        <w:t>Benefit</w:t>
      </w:r>
      <w:proofErr w:type="spellEnd"/>
      <w:r w:rsidRPr="004331DA">
        <w:rPr>
          <w:rFonts w:asciiTheme="minorHAnsi" w:hAnsiTheme="minorHAnsi"/>
        </w:rPr>
        <w:t xml:space="preserve"> </w:t>
      </w:r>
      <w:proofErr w:type="spellStart"/>
      <w:r w:rsidRPr="004331DA">
        <w:rPr>
          <w:rFonts w:asciiTheme="minorHAnsi" w:hAnsiTheme="minorHAnsi"/>
        </w:rPr>
        <w:t>Scale</w:t>
      </w:r>
      <w:proofErr w:type="spellEnd"/>
      <w:proofErr w:type="gramStart"/>
      <w:r w:rsidRPr="004331DA">
        <w:rPr>
          <w:rFonts w:asciiTheme="minorHAnsi" w:hAnsiTheme="minorHAnsi"/>
        </w:rPr>
        <w:t>):</w:t>
      </w:r>
      <w:proofErr w:type="gramEnd"/>
      <w:r w:rsidRPr="004331DA">
        <w:rPr>
          <w:rFonts w:asciiTheme="minorHAnsi" w:hAnsiTheme="minorHAnsi"/>
        </w:rPr>
        <w:t xml:space="preserve"> A, ce qui correspond au niveau le plus élevé avec un bénéfice considérable</w:t>
      </w:r>
      <w:r w:rsidRPr="00AB03E8">
        <w:rPr>
          <w:rFonts w:asciiTheme="minorHAnsi" w:hAnsiTheme="minorHAnsi"/>
          <w:vertAlign w:val="superscript"/>
        </w:rPr>
        <w:t>8</w:t>
      </w:r>
      <w:r w:rsidRPr="004331DA">
        <w:rPr>
          <w:rFonts w:asciiTheme="minorHAnsi" w:hAnsiTheme="minorHAnsi"/>
        </w:rPr>
        <w:t>.</w:t>
      </w:r>
    </w:p>
    <w:p w14:paraId="028A99A7" w14:textId="19F06951" w:rsidR="000B7AAA" w:rsidRPr="00AE4856" w:rsidRDefault="000B7AAA" w:rsidP="000B7AAA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Pour toutes ces raisons, je vous demande donc d’accorder le plus rapidement possible une garantie de prise en charge du traitement par l’</w:t>
      </w:r>
      <w:proofErr w:type="spellStart"/>
      <w:r>
        <w:rPr>
          <w:rFonts w:asciiTheme="minorHAnsi" w:hAnsiTheme="minorHAnsi"/>
        </w:rPr>
        <w:t>osimertinib</w:t>
      </w:r>
      <w:proofErr w:type="spellEnd"/>
      <w:r>
        <w:rPr>
          <w:rFonts w:asciiTheme="minorHAnsi" w:hAnsiTheme="minorHAnsi"/>
        </w:rPr>
        <w:t>. Je reste à votre disposition pour tout document ou information complémentaire.</w:t>
      </w:r>
    </w:p>
    <w:p w14:paraId="1A353C0A" w14:textId="77777777" w:rsidR="000B7AAA" w:rsidRPr="00297740" w:rsidRDefault="000B7AAA" w:rsidP="000B7AAA">
      <w:pPr>
        <w:rPr>
          <w:rFonts w:asciiTheme="minorHAnsi" w:hAnsiTheme="minorHAnsi" w:cstheme="minorHAnsi"/>
          <w:szCs w:val="20"/>
        </w:rPr>
      </w:pPr>
    </w:p>
    <w:p w14:paraId="074D1119" w14:textId="77777777" w:rsidR="000B7AAA" w:rsidRPr="00AE4856" w:rsidRDefault="000B7AAA" w:rsidP="000B7AAA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Avec tous mes remerciements pour notre fructueuse collaboration et mes cordiales salutations</w:t>
      </w:r>
    </w:p>
    <w:p w14:paraId="32959ECF" w14:textId="77777777" w:rsidR="000B7AAA" w:rsidRPr="00297740" w:rsidRDefault="000B7AAA" w:rsidP="000B7AAA">
      <w:pPr>
        <w:rPr>
          <w:rFonts w:asciiTheme="minorHAnsi" w:hAnsiTheme="minorHAnsi" w:cstheme="minorHAnsi"/>
          <w:szCs w:val="20"/>
        </w:rPr>
      </w:pPr>
    </w:p>
    <w:p w14:paraId="30FA43EA" w14:textId="77777777" w:rsidR="000B7AAA" w:rsidRPr="00297740" w:rsidRDefault="000B7AAA" w:rsidP="000B7AAA">
      <w:pPr>
        <w:rPr>
          <w:rFonts w:asciiTheme="minorHAnsi" w:hAnsiTheme="minorHAnsi" w:cstheme="minorHAnsi"/>
          <w:szCs w:val="20"/>
        </w:rPr>
      </w:pPr>
    </w:p>
    <w:p w14:paraId="0C0C443F" w14:textId="77777777" w:rsidR="000B7AAA" w:rsidRPr="00297740" w:rsidRDefault="000B7AAA" w:rsidP="000B7AAA">
      <w:pPr>
        <w:rPr>
          <w:rFonts w:asciiTheme="minorHAnsi" w:hAnsiTheme="minorHAnsi" w:cstheme="minorHAnsi"/>
          <w:szCs w:val="20"/>
        </w:rPr>
      </w:pPr>
    </w:p>
    <w:p w14:paraId="4DA2EF5D" w14:textId="77777777" w:rsidR="000B7AAA" w:rsidRPr="00AE4856" w:rsidRDefault="000B7AAA" w:rsidP="000B7AAA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Dr </w:t>
      </w:r>
    </w:p>
    <w:p w14:paraId="7EC5B1C0" w14:textId="77777777" w:rsidR="000B7AAA" w:rsidRPr="00AE4856" w:rsidRDefault="000B7AAA" w:rsidP="000B7AAA">
      <w:pPr>
        <w:pStyle w:val="PlainText"/>
        <w:rPr>
          <w:iCs/>
          <w:sz w:val="20"/>
          <w:szCs w:val="20"/>
        </w:rPr>
      </w:pPr>
    </w:p>
    <w:p w14:paraId="3070F51C" w14:textId="77777777" w:rsidR="000B7AAA" w:rsidRDefault="000B7AAA" w:rsidP="000B7AAA">
      <w:pPr>
        <w:pStyle w:val="PlainText"/>
        <w:rPr>
          <w:iCs/>
          <w:sz w:val="20"/>
          <w:szCs w:val="20"/>
        </w:rPr>
      </w:pPr>
    </w:p>
    <w:p w14:paraId="699970EE" w14:textId="77777777" w:rsidR="005A5959" w:rsidRPr="00BE477E" w:rsidRDefault="005A5959" w:rsidP="000B7AAA">
      <w:pPr>
        <w:pStyle w:val="PlainText"/>
        <w:rPr>
          <w:iCs/>
          <w:sz w:val="20"/>
          <w:szCs w:val="20"/>
        </w:rPr>
      </w:pPr>
    </w:p>
    <w:p w14:paraId="3D2AC34A" w14:textId="5E0B5002" w:rsidR="00B75ECE" w:rsidRPr="00B75ECE" w:rsidRDefault="000B7AAA" w:rsidP="00BE477E">
      <w:pPr>
        <w:pStyle w:val="PlainText"/>
        <w:spacing w:after="120"/>
        <w:rPr>
          <w:lang w:val="en-US"/>
        </w:rPr>
      </w:pPr>
      <w:proofErr w:type="gramStart"/>
      <w:r w:rsidRPr="00811A98">
        <w:rPr>
          <w:sz w:val="18"/>
          <w:szCs w:val="18"/>
        </w:rPr>
        <w:t>Références:</w:t>
      </w:r>
      <w:proofErr w:type="gramEnd"/>
    </w:p>
    <w:p w14:paraId="2D263F76" w14:textId="77777777" w:rsidR="009D069B" w:rsidRDefault="009D069B" w:rsidP="009D069B">
      <w:pPr>
        <w:pStyle w:val="ListParagraph"/>
        <w:numPr>
          <w:ilvl w:val="0"/>
          <w:numId w:val="4"/>
        </w:numPr>
        <w:spacing w:line="276" w:lineRule="auto"/>
        <w:rPr>
          <w:bCs/>
          <w:iCs/>
          <w:sz w:val="18"/>
          <w:szCs w:val="18"/>
          <w:lang w:val="en-AU"/>
        </w:rPr>
      </w:pPr>
      <w:proofErr w:type="spellStart"/>
      <w:r w:rsidRPr="00D62AB0">
        <w:rPr>
          <w:bCs/>
          <w:iCs/>
          <w:sz w:val="18"/>
          <w:szCs w:val="18"/>
        </w:rPr>
        <w:t>Tsuboi</w:t>
      </w:r>
      <w:proofErr w:type="spellEnd"/>
      <w:r w:rsidRPr="00D62AB0">
        <w:rPr>
          <w:bCs/>
          <w:iCs/>
          <w:sz w:val="18"/>
          <w:szCs w:val="18"/>
        </w:rPr>
        <w:t xml:space="preserve"> M, </w:t>
      </w:r>
      <w:proofErr w:type="spellStart"/>
      <w:r w:rsidRPr="00D62AB0">
        <w:rPr>
          <w:bCs/>
          <w:iCs/>
          <w:sz w:val="18"/>
          <w:szCs w:val="18"/>
        </w:rPr>
        <w:t>Herbst</w:t>
      </w:r>
      <w:proofErr w:type="spellEnd"/>
      <w:r w:rsidRPr="00D62AB0">
        <w:rPr>
          <w:bCs/>
          <w:iCs/>
          <w:sz w:val="18"/>
          <w:szCs w:val="18"/>
        </w:rPr>
        <w:t xml:space="preserve"> RS, John T, et al. </w:t>
      </w:r>
      <w:r w:rsidRPr="00D62AB0">
        <w:rPr>
          <w:bCs/>
          <w:iCs/>
          <w:sz w:val="18"/>
          <w:szCs w:val="18"/>
          <w:lang w:val="en-AU"/>
        </w:rPr>
        <w:t>Overall Survival with Osimertinib in Resected EGFR-Mutated NSCLC. N Engl J Med. 2023;389(2):137-147.</w:t>
      </w:r>
    </w:p>
    <w:p w14:paraId="2C92BDC2" w14:textId="7FDD24E4" w:rsidR="00B75ECE" w:rsidRPr="00B75ECE" w:rsidRDefault="002D67AA" w:rsidP="00B75ECE">
      <w:pPr>
        <w:pStyle w:val="ListParagraph"/>
        <w:numPr>
          <w:ilvl w:val="0"/>
          <w:numId w:val="4"/>
        </w:numPr>
        <w:spacing w:line="276" w:lineRule="auto"/>
        <w:rPr>
          <w:iCs/>
          <w:sz w:val="18"/>
          <w:szCs w:val="18"/>
          <w:lang w:val="en-US"/>
        </w:rPr>
      </w:pPr>
      <w:r w:rsidRPr="00AD68B2">
        <w:rPr>
          <w:bCs/>
          <w:iCs/>
          <w:sz w:val="18"/>
          <w:szCs w:val="18"/>
          <w:lang w:val="en-AU"/>
        </w:rPr>
        <w:t>Herbst et al; Adjuvant Osimertinib for resected EGFRm stage IB-IIIA NSCLC: updated results from the phase III randomized ADAURA trial; JCO 2023, 41: 1830-1840</w:t>
      </w:r>
    </w:p>
    <w:p w14:paraId="322C0E6D" w14:textId="244D1BA8" w:rsidR="00D83DC4" w:rsidRPr="0054016F" w:rsidRDefault="00D83DC4" w:rsidP="00811A98">
      <w:pPr>
        <w:pStyle w:val="ListParagraph"/>
        <w:numPr>
          <w:ilvl w:val="0"/>
          <w:numId w:val="4"/>
        </w:numPr>
        <w:spacing w:line="276" w:lineRule="auto"/>
        <w:ind w:left="714" w:hanging="357"/>
        <w:rPr>
          <w:bCs/>
          <w:iCs/>
          <w:sz w:val="18"/>
          <w:szCs w:val="18"/>
          <w:lang w:val="en-US"/>
        </w:rPr>
      </w:pPr>
      <w:r w:rsidRPr="0054016F">
        <w:rPr>
          <w:iCs/>
          <w:sz w:val="18"/>
          <w:szCs w:val="18"/>
          <w:lang w:val="en-US"/>
        </w:rPr>
        <w:t xml:space="preserve">Wu et al; Osimertinib in resected EGFR-mutated NSCLC, NEJM 2020;383(18):1711-1723, y </w:t>
      </w:r>
      <w:proofErr w:type="spellStart"/>
      <w:r w:rsidRPr="0054016F">
        <w:rPr>
          <w:iCs/>
          <w:sz w:val="18"/>
          <w:szCs w:val="18"/>
          <w:lang w:val="en-US"/>
        </w:rPr>
        <w:t>compris</w:t>
      </w:r>
      <w:proofErr w:type="spellEnd"/>
      <w:r w:rsidRPr="0054016F">
        <w:rPr>
          <w:iCs/>
          <w:sz w:val="18"/>
          <w:szCs w:val="18"/>
          <w:lang w:val="en-US"/>
        </w:rPr>
        <w:t xml:space="preserve"> Supplementary Appendix</w:t>
      </w:r>
    </w:p>
    <w:p w14:paraId="11A2BFAC" w14:textId="090D8735" w:rsidR="004A6AD2" w:rsidRDefault="00680496" w:rsidP="00680496">
      <w:pPr>
        <w:pStyle w:val="ListParagraph"/>
        <w:numPr>
          <w:ilvl w:val="0"/>
          <w:numId w:val="4"/>
        </w:numPr>
        <w:spacing w:line="276" w:lineRule="auto"/>
        <w:rPr>
          <w:iCs/>
          <w:sz w:val="18"/>
          <w:szCs w:val="18"/>
          <w:lang w:val="en-GB"/>
        </w:rPr>
      </w:pPr>
      <w:proofErr w:type="spellStart"/>
      <w:r w:rsidRPr="00B5370F">
        <w:rPr>
          <w:iCs/>
          <w:sz w:val="18"/>
          <w:szCs w:val="18"/>
          <w:lang w:val="en-US"/>
        </w:rPr>
        <w:t>Majem</w:t>
      </w:r>
      <w:proofErr w:type="spellEnd"/>
      <w:r w:rsidRPr="00B5370F">
        <w:rPr>
          <w:iCs/>
          <w:sz w:val="18"/>
          <w:szCs w:val="18"/>
          <w:lang w:val="en-US"/>
        </w:rPr>
        <w:t xml:space="preserve"> et al</w:t>
      </w:r>
      <w:r>
        <w:rPr>
          <w:iCs/>
          <w:sz w:val="18"/>
          <w:szCs w:val="18"/>
          <w:lang w:val="en-US"/>
        </w:rPr>
        <w:t>;</w:t>
      </w:r>
      <w:r w:rsidRPr="00B5370F">
        <w:rPr>
          <w:iCs/>
          <w:sz w:val="18"/>
          <w:szCs w:val="18"/>
          <w:lang w:val="en-US"/>
        </w:rPr>
        <w:t xml:space="preserve"> </w:t>
      </w:r>
      <w:r w:rsidRPr="00637620">
        <w:rPr>
          <w:iCs/>
          <w:sz w:val="18"/>
          <w:szCs w:val="18"/>
          <w:lang w:val="en-US"/>
        </w:rPr>
        <w:t>Health-</w:t>
      </w:r>
      <w:r>
        <w:rPr>
          <w:iCs/>
          <w:sz w:val="18"/>
          <w:szCs w:val="18"/>
          <w:lang w:val="en-US"/>
        </w:rPr>
        <w:t>r</w:t>
      </w:r>
      <w:r w:rsidRPr="00637620">
        <w:rPr>
          <w:iCs/>
          <w:sz w:val="18"/>
          <w:szCs w:val="18"/>
          <w:lang w:val="en-US"/>
        </w:rPr>
        <w:t xml:space="preserve">elated </w:t>
      </w:r>
      <w:r>
        <w:rPr>
          <w:iCs/>
          <w:sz w:val="18"/>
          <w:szCs w:val="18"/>
          <w:lang w:val="en-US"/>
        </w:rPr>
        <w:t>q</w:t>
      </w:r>
      <w:r w:rsidRPr="00637620">
        <w:rPr>
          <w:iCs/>
          <w:sz w:val="18"/>
          <w:szCs w:val="18"/>
          <w:lang w:val="en-US"/>
        </w:rPr>
        <w:t xml:space="preserve">uality of </w:t>
      </w:r>
      <w:r>
        <w:rPr>
          <w:iCs/>
          <w:sz w:val="18"/>
          <w:szCs w:val="18"/>
          <w:lang w:val="en-US"/>
        </w:rPr>
        <w:t>l</w:t>
      </w:r>
      <w:r w:rsidRPr="00637620">
        <w:rPr>
          <w:iCs/>
          <w:sz w:val="18"/>
          <w:szCs w:val="18"/>
          <w:lang w:val="en-US"/>
        </w:rPr>
        <w:t xml:space="preserve">ife </w:t>
      </w:r>
      <w:r>
        <w:rPr>
          <w:iCs/>
          <w:sz w:val="18"/>
          <w:szCs w:val="18"/>
          <w:lang w:val="en-US"/>
        </w:rPr>
        <w:t>o</w:t>
      </w:r>
      <w:r w:rsidRPr="00637620">
        <w:rPr>
          <w:iCs/>
          <w:sz w:val="18"/>
          <w:szCs w:val="18"/>
          <w:lang w:val="en-US"/>
        </w:rPr>
        <w:t xml:space="preserve">utcomes in </w:t>
      </w:r>
      <w:r>
        <w:rPr>
          <w:iCs/>
          <w:sz w:val="18"/>
          <w:szCs w:val="18"/>
          <w:lang w:val="en-US"/>
        </w:rPr>
        <w:t>p</w:t>
      </w:r>
      <w:r w:rsidRPr="00637620">
        <w:rPr>
          <w:iCs/>
          <w:sz w:val="18"/>
          <w:szCs w:val="18"/>
          <w:lang w:val="en-US"/>
        </w:rPr>
        <w:t>atients with</w:t>
      </w:r>
      <w:r>
        <w:rPr>
          <w:iCs/>
          <w:sz w:val="18"/>
          <w:szCs w:val="18"/>
          <w:lang w:val="en-US"/>
        </w:rPr>
        <w:t xml:space="preserve"> </w:t>
      </w:r>
      <w:r w:rsidRPr="00BE477E">
        <w:rPr>
          <w:iCs/>
          <w:sz w:val="18"/>
          <w:szCs w:val="18"/>
          <w:lang w:val="en-GB"/>
        </w:rPr>
        <w:t xml:space="preserve">resected epidermal growth factor receptor–mutated NSCLC who received adjuvant </w:t>
      </w:r>
      <w:proofErr w:type="spellStart"/>
      <w:r w:rsidRPr="00BE477E">
        <w:rPr>
          <w:iCs/>
          <w:sz w:val="18"/>
          <w:szCs w:val="18"/>
          <w:lang w:val="en-GB"/>
        </w:rPr>
        <w:t>osimertinib</w:t>
      </w:r>
      <w:proofErr w:type="spellEnd"/>
      <w:r w:rsidRPr="00BE477E">
        <w:rPr>
          <w:iCs/>
          <w:sz w:val="18"/>
          <w:szCs w:val="18"/>
          <w:lang w:val="en-GB"/>
        </w:rPr>
        <w:t xml:space="preserve"> in the phase III ADAURA trial; </w:t>
      </w:r>
      <w:proofErr w:type="spellStart"/>
      <w:r w:rsidRPr="00BE477E">
        <w:rPr>
          <w:iCs/>
          <w:sz w:val="18"/>
          <w:szCs w:val="18"/>
          <w:lang w:val="en-GB"/>
        </w:rPr>
        <w:t>ClinCancRes</w:t>
      </w:r>
      <w:proofErr w:type="spellEnd"/>
      <w:r w:rsidRPr="00BE477E">
        <w:rPr>
          <w:iCs/>
          <w:sz w:val="18"/>
          <w:szCs w:val="18"/>
          <w:lang w:val="en-GB"/>
        </w:rPr>
        <w:t xml:space="preserve"> 2022, </w:t>
      </w:r>
      <w:proofErr w:type="spellStart"/>
      <w:r w:rsidRPr="00BE477E">
        <w:rPr>
          <w:iCs/>
          <w:sz w:val="18"/>
          <w:szCs w:val="18"/>
          <w:lang w:val="en-GB"/>
        </w:rPr>
        <w:t>doi</w:t>
      </w:r>
      <w:proofErr w:type="spellEnd"/>
      <w:r w:rsidRPr="00BE477E">
        <w:rPr>
          <w:iCs/>
          <w:sz w:val="18"/>
          <w:szCs w:val="18"/>
          <w:lang w:val="en-GB"/>
        </w:rPr>
        <w:t>: 10.1158/1078-0432.CCR-21-3530</w:t>
      </w:r>
    </w:p>
    <w:p w14:paraId="4E14F2E4" w14:textId="77777777" w:rsidR="0068200D" w:rsidRPr="00AD68B2" w:rsidRDefault="0068200D" w:rsidP="0068200D">
      <w:pPr>
        <w:pStyle w:val="ListParagraph"/>
        <w:numPr>
          <w:ilvl w:val="0"/>
          <w:numId w:val="4"/>
        </w:numPr>
        <w:spacing w:line="276" w:lineRule="auto"/>
        <w:rPr>
          <w:iCs/>
          <w:sz w:val="18"/>
          <w:szCs w:val="18"/>
          <w:lang w:val="en-AU"/>
        </w:rPr>
      </w:pPr>
      <w:r w:rsidRPr="00AD68B2">
        <w:rPr>
          <w:iCs/>
          <w:sz w:val="18"/>
          <w:szCs w:val="18"/>
          <w:lang w:val="en-AU"/>
        </w:rPr>
        <w:t>Remon et al; Early and locally advanced non-small-cell lung cancer: an update of the ESMO Clinical Practice Guidelines focusing on diagnosis, staging, systemic and local therapy, Annals of Oncology 2021; 32(12): 1637-42</w:t>
      </w:r>
    </w:p>
    <w:p w14:paraId="14B6ECDF" w14:textId="168275F2" w:rsidR="0068200D" w:rsidRPr="00AD68B2" w:rsidRDefault="0068200D" w:rsidP="0068200D">
      <w:pPr>
        <w:pStyle w:val="ListParagraph"/>
        <w:numPr>
          <w:ilvl w:val="0"/>
          <w:numId w:val="4"/>
        </w:numPr>
        <w:spacing w:line="276" w:lineRule="auto"/>
        <w:rPr>
          <w:iCs/>
          <w:sz w:val="18"/>
          <w:szCs w:val="18"/>
          <w:lang w:val="de-DE"/>
        </w:rPr>
      </w:pPr>
      <w:proofErr w:type="spellStart"/>
      <w:r w:rsidRPr="00AD68B2">
        <w:rPr>
          <w:iCs/>
          <w:sz w:val="18"/>
          <w:szCs w:val="18"/>
          <w:lang w:val="en-AU"/>
        </w:rPr>
        <w:t>Referenziert</w:t>
      </w:r>
      <w:proofErr w:type="spellEnd"/>
      <w:r w:rsidRPr="00AD68B2">
        <w:rPr>
          <w:iCs/>
          <w:sz w:val="18"/>
          <w:szCs w:val="18"/>
          <w:lang w:val="en-AU"/>
        </w:rPr>
        <w:t xml:space="preserve"> </w:t>
      </w:r>
      <w:proofErr w:type="spellStart"/>
      <w:r w:rsidRPr="00AD68B2">
        <w:rPr>
          <w:iCs/>
          <w:sz w:val="18"/>
          <w:szCs w:val="18"/>
          <w:lang w:val="en-AU"/>
        </w:rPr>
        <w:t>mit</w:t>
      </w:r>
      <w:proofErr w:type="spellEnd"/>
      <w:r w:rsidRPr="00AD68B2">
        <w:rPr>
          <w:iCs/>
          <w:sz w:val="18"/>
          <w:szCs w:val="18"/>
          <w:lang w:val="en-AU"/>
        </w:rPr>
        <w:t xml:space="preserve"> der </w:t>
      </w:r>
      <w:proofErr w:type="spellStart"/>
      <w:r w:rsidRPr="00AD68B2">
        <w:rPr>
          <w:iCs/>
          <w:sz w:val="18"/>
          <w:szCs w:val="18"/>
          <w:lang w:val="en-AU"/>
        </w:rPr>
        <w:t>Genehmigung</w:t>
      </w:r>
      <w:proofErr w:type="spellEnd"/>
      <w:r w:rsidRPr="00AD68B2">
        <w:rPr>
          <w:iCs/>
          <w:sz w:val="18"/>
          <w:szCs w:val="18"/>
          <w:lang w:val="en-AU"/>
        </w:rPr>
        <w:t xml:space="preserve"> von NCCN Clinical Practice Guidelines in Oncology (NCCN Guidelines®) for NSCLC V.</w:t>
      </w:r>
      <w:r w:rsidR="00851B72">
        <w:rPr>
          <w:iCs/>
          <w:sz w:val="18"/>
          <w:szCs w:val="18"/>
          <w:lang w:val="en-AU"/>
        </w:rPr>
        <w:t>5</w:t>
      </w:r>
      <w:r w:rsidRPr="00AD68B2">
        <w:rPr>
          <w:iCs/>
          <w:sz w:val="18"/>
          <w:szCs w:val="18"/>
          <w:lang w:val="en-AU"/>
        </w:rPr>
        <w:t>.202</w:t>
      </w:r>
      <w:r w:rsidR="00851B72">
        <w:rPr>
          <w:iCs/>
          <w:sz w:val="18"/>
          <w:szCs w:val="18"/>
          <w:lang w:val="en-AU"/>
        </w:rPr>
        <w:t>5</w:t>
      </w:r>
      <w:r w:rsidRPr="00AD68B2">
        <w:rPr>
          <w:iCs/>
          <w:sz w:val="18"/>
          <w:szCs w:val="18"/>
          <w:lang w:val="en-AU"/>
        </w:rPr>
        <w:t xml:space="preserve">. © National Comprehensive Cancer Network, Inc. 2023. </w:t>
      </w:r>
      <w:r w:rsidRPr="00AD68B2">
        <w:rPr>
          <w:iCs/>
          <w:sz w:val="18"/>
          <w:szCs w:val="18"/>
          <w:lang w:val="de-DE"/>
        </w:rPr>
        <w:t xml:space="preserve">Alle Rechte vorbehalten. Zugriff am 15. </w:t>
      </w:r>
      <w:proofErr w:type="spellStart"/>
      <w:r w:rsidR="00851B72">
        <w:rPr>
          <w:iCs/>
          <w:sz w:val="18"/>
          <w:szCs w:val="18"/>
          <w:lang w:val="de-DE"/>
        </w:rPr>
        <w:t>avril</w:t>
      </w:r>
      <w:proofErr w:type="spellEnd"/>
      <w:r w:rsidRPr="00AD68B2">
        <w:rPr>
          <w:iCs/>
          <w:sz w:val="18"/>
          <w:szCs w:val="18"/>
          <w:lang w:val="de-DE"/>
        </w:rPr>
        <w:t xml:space="preserve"> 202</w:t>
      </w:r>
      <w:r w:rsidR="00851B72">
        <w:rPr>
          <w:iCs/>
          <w:sz w:val="18"/>
          <w:szCs w:val="18"/>
          <w:lang w:val="de-DE"/>
        </w:rPr>
        <w:t>5</w:t>
      </w:r>
      <w:r w:rsidRPr="00AD68B2">
        <w:rPr>
          <w:iCs/>
          <w:sz w:val="18"/>
          <w:szCs w:val="18"/>
          <w:lang w:val="de-DE"/>
        </w:rPr>
        <w:t>. NCCN gibt keinerlei Garantien in Bezug auf deren Inhalt oder Verwendung und lehnt jegliche Verantwortung für deren Verwendung in irgendeiner Weise ab.</w:t>
      </w:r>
    </w:p>
    <w:p w14:paraId="48A9EAE6" w14:textId="77777777" w:rsidR="0068200D" w:rsidRPr="009620DD" w:rsidRDefault="0068200D" w:rsidP="0068200D">
      <w:pPr>
        <w:pStyle w:val="ListParagraph"/>
        <w:numPr>
          <w:ilvl w:val="0"/>
          <w:numId w:val="4"/>
        </w:numPr>
        <w:spacing w:line="276" w:lineRule="auto"/>
        <w:rPr>
          <w:iCs/>
          <w:sz w:val="18"/>
          <w:szCs w:val="18"/>
        </w:rPr>
      </w:pPr>
      <w:r w:rsidRPr="00AD68B2">
        <w:rPr>
          <w:iCs/>
          <w:sz w:val="18"/>
          <w:szCs w:val="18"/>
          <w:lang w:val="en-AU"/>
        </w:rPr>
        <w:lastRenderedPageBreak/>
        <w:t xml:space="preserve">Pisters, et al. Adjuvant Systemic Therapy and Adjuvant Radiation Therapy for Stage I-IIIA Completely Resected Non–Small-Cell Lung Cancer: ASCO Guideline Rapid Recommendation Update. </w:t>
      </w:r>
      <w:r w:rsidRPr="007A730C">
        <w:rPr>
          <w:iCs/>
          <w:sz w:val="18"/>
          <w:szCs w:val="18"/>
        </w:rPr>
        <w:t xml:space="preserve">J Clin </w:t>
      </w:r>
      <w:proofErr w:type="spellStart"/>
      <w:r w:rsidRPr="007A730C">
        <w:rPr>
          <w:iCs/>
          <w:sz w:val="18"/>
          <w:szCs w:val="18"/>
        </w:rPr>
        <w:t>Oncol</w:t>
      </w:r>
      <w:proofErr w:type="spellEnd"/>
      <w:r w:rsidRPr="007A730C">
        <w:rPr>
          <w:iCs/>
          <w:sz w:val="18"/>
          <w:szCs w:val="18"/>
        </w:rPr>
        <w:t xml:space="preserve"> </w:t>
      </w:r>
      <w:proofErr w:type="gramStart"/>
      <w:r w:rsidRPr="007A730C">
        <w:rPr>
          <w:iCs/>
          <w:sz w:val="18"/>
          <w:szCs w:val="18"/>
        </w:rPr>
        <w:t>2022;</w:t>
      </w:r>
      <w:proofErr w:type="gramEnd"/>
      <w:r w:rsidRPr="007A730C">
        <w:rPr>
          <w:iCs/>
          <w:sz w:val="18"/>
          <w:szCs w:val="18"/>
        </w:rPr>
        <w:t xml:space="preserve"> 40:1127-1130</w:t>
      </w:r>
      <w:r>
        <w:rPr>
          <w:iCs/>
          <w:sz w:val="18"/>
          <w:szCs w:val="18"/>
        </w:rPr>
        <w:t>.</w:t>
      </w:r>
    </w:p>
    <w:p w14:paraId="5CCD68AB" w14:textId="39A542C3" w:rsidR="0068200D" w:rsidRPr="00AD68B2" w:rsidRDefault="0068200D" w:rsidP="0068200D">
      <w:pPr>
        <w:pStyle w:val="ListParagraph"/>
        <w:numPr>
          <w:ilvl w:val="0"/>
          <w:numId w:val="4"/>
        </w:numPr>
        <w:spacing w:line="276" w:lineRule="auto"/>
        <w:rPr>
          <w:iCs/>
          <w:sz w:val="18"/>
          <w:szCs w:val="18"/>
        </w:rPr>
      </w:pPr>
      <w:r w:rsidRPr="00D22FC3">
        <w:rPr>
          <w:iCs/>
          <w:sz w:val="18"/>
          <w:szCs w:val="18"/>
        </w:rPr>
        <w:t>https://www.esmo.org/guidelines/esmo-mcbs/esmo-mcbs-for-solid-tumours/esmo-mcbs-scorecards/scorecard-241-1</w:t>
      </w:r>
    </w:p>
    <w:sectPr w:rsidR="0068200D" w:rsidRPr="00AD68B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5E34" w14:textId="77777777" w:rsidR="008C28BA" w:rsidRDefault="008C28BA" w:rsidP="000B7AAA">
      <w:r>
        <w:separator/>
      </w:r>
    </w:p>
  </w:endnote>
  <w:endnote w:type="continuationSeparator" w:id="0">
    <w:p w14:paraId="2F742C1A" w14:textId="77777777" w:rsidR="008C28BA" w:rsidRDefault="008C28BA" w:rsidP="000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69D8" w14:textId="77777777" w:rsidR="00851B72" w:rsidRPr="005823AF" w:rsidRDefault="00851B72" w:rsidP="00851B72">
    <w:pPr>
      <w:pStyle w:val="Footer"/>
      <w:jc w:val="right"/>
      <w:rPr>
        <w:rFonts w:asciiTheme="minorHAnsi" w:hAnsiTheme="minorHAnsi"/>
        <w:sz w:val="16"/>
        <w:szCs w:val="16"/>
        <w:lang w:val="en-CH"/>
      </w:rPr>
    </w:pPr>
    <w:r w:rsidRPr="005823AF">
      <w:rPr>
        <w:rFonts w:asciiTheme="minorHAnsi" w:hAnsiTheme="minorHAnsi"/>
        <w:sz w:val="16"/>
        <w:szCs w:val="16"/>
        <w:lang w:val="en-CH"/>
      </w:rPr>
      <w:t>CH-11207</w:t>
    </w:r>
    <w:r w:rsidRPr="00FA17A3">
      <w:rPr>
        <w:rFonts w:asciiTheme="minorHAnsi" w:hAnsiTheme="minorHAnsi"/>
        <w:sz w:val="16"/>
        <w:szCs w:val="16"/>
      </w:rPr>
      <w:t xml:space="preserve">/ </w:t>
    </w:r>
    <w:r>
      <w:rPr>
        <w:rFonts w:asciiTheme="minorHAnsi" w:hAnsiTheme="minorHAnsi"/>
        <w:sz w:val="16"/>
        <w:szCs w:val="16"/>
      </w:rPr>
      <w:t>APR</w:t>
    </w:r>
    <w:r w:rsidRPr="00FA17A3">
      <w:rPr>
        <w:rFonts w:asciiTheme="minorHAnsi" w:hAnsiTheme="minorHAnsi"/>
        <w:sz w:val="16"/>
        <w:szCs w:val="16"/>
      </w:rPr>
      <w:t xml:space="preserve"> 202</w:t>
    </w:r>
    <w:r>
      <w:rPr>
        <w:rFonts w:asciiTheme="minorHAnsi" w:hAnsiTheme="minorHAnsi"/>
        <w:sz w:val="16"/>
        <w:szCs w:val="16"/>
      </w:rPr>
      <w:t>5</w:t>
    </w:r>
  </w:p>
  <w:p w14:paraId="228C2005" w14:textId="77777777" w:rsidR="0084349E" w:rsidRDefault="0084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0E5A" w14:textId="77777777" w:rsidR="008C28BA" w:rsidRDefault="008C28BA" w:rsidP="000B7AAA">
      <w:r>
        <w:separator/>
      </w:r>
    </w:p>
  </w:footnote>
  <w:footnote w:type="continuationSeparator" w:id="0">
    <w:p w14:paraId="3F11023F" w14:textId="77777777" w:rsidR="008C28BA" w:rsidRDefault="008C28BA" w:rsidP="000B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8DE"/>
    <w:multiLevelType w:val="hybridMultilevel"/>
    <w:tmpl w:val="BCE4EFBC"/>
    <w:lvl w:ilvl="0" w:tplc="9258C7B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1B2"/>
    <w:multiLevelType w:val="multilevel"/>
    <w:tmpl w:val="65EE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E3195"/>
    <w:multiLevelType w:val="hybridMultilevel"/>
    <w:tmpl w:val="0C9C14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0315"/>
    <w:multiLevelType w:val="hybridMultilevel"/>
    <w:tmpl w:val="B81A4A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F5D50"/>
    <w:multiLevelType w:val="hybridMultilevel"/>
    <w:tmpl w:val="4F306FB4"/>
    <w:lvl w:ilvl="0" w:tplc="08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65C75784"/>
    <w:multiLevelType w:val="hybridMultilevel"/>
    <w:tmpl w:val="524EE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86751">
    <w:abstractNumId w:val="4"/>
  </w:num>
  <w:num w:numId="2" w16cid:durableId="1493181898">
    <w:abstractNumId w:val="1"/>
  </w:num>
  <w:num w:numId="3" w16cid:durableId="357704590">
    <w:abstractNumId w:val="0"/>
  </w:num>
  <w:num w:numId="4" w16cid:durableId="1415466623">
    <w:abstractNumId w:val="3"/>
  </w:num>
  <w:num w:numId="5" w16cid:durableId="1890607203">
    <w:abstractNumId w:val="5"/>
  </w:num>
  <w:num w:numId="6" w16cid:durableId="1245725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B6"/>
    <w:rsid w:val="000001CB"/>
    <w:rsid w:val="00001495"/>
    <w:rsid w:val="00006579"/>
    <w:rsid w:val="00014C4D"/>
    <w:rsid w:val="0001593D"/>
    <w:rsid w:val="0002065F"/>
    <w:rsid w:val="00024C43"/>
    <w:rsid w:val="000270AB"/>
    <w:rsid w:val="00035172"/>
    <w:rsid w:val="00036FA4"/>
    <w:rsid w:val="00053972"/>
    <w:rsid w:val="00053D0F"/>
    <w:rsid w:val="00053D20"/>
    <w:rsid w:val="00061484"/>
    <w:rsid w:val="000631C2"/>
    <w:rsid w:val="0007069D"/>
    <w:rsid w:val="0008721F"/>
    <w:rsid w:val="000A07BF"/>
    <w:rsid w:val="000A0A87"/>
    <w:rsid w:val="000A540D"/>
    <w:rsid w:val="000A5C9A"/>
    <w:rsid w:val="000B17D7"/>
    <w:rsid w:val="000B37CF"/>
    <w:rsid w:val="000B73BC"/>
    <w:rsid w:val="000B7AAA"/>
    <w:rsid w:val="000D34AF"/>
    <w:rsid w:val="000D6E76"/>
    <w:rsid w:val="000D74C1"/>
    <w:rsid w:val="000E09B9"/>
    <w:rsid w:val="000E1470"/>
    <w:rsid w:val="000E4556"/>
    <w:rsid w:val="000E7427"/>
    <w:rsid w:val="000F5DBB"/>
    <w:rsid w:val="000F6F74"/>
    <w:rsid w:val="00111D88"/>
    <w:rsid w:val="0011332D"/>
    <w:rsid w:val="00115B28"/>
    <w:rsid w:val="001207FB"/>
    <w:rsid w:val="00146E18"/>
    <w:rsid w:val="001478BC"/>
    <w:rsid w:val="0015666D"/>
    <w:rsid w:val="0016661A"/>
    <w:rsid w:val="00172639"/>
    <w:rsid w:val="0017668A"/>
    <w:rsid w:val="001769DA"/>
    <w:rsid w:val="00183C9B"/>
    <w:rsid w:val="00193A6A"/>
    <w:rsid w:val="0019641B"/>
    <w:rsid w:val="001973B0"/>
    <w:rsid w:val="001A0B23"/>
    <w:rsid w:val="001A180B"/>
    <w:rsid w:val="001A32E9"/>
    <w:rsid w:val="001A470F"/>
    <w:rsid w:val="001B5F7B"/>
    <w:rsid w:val="001B6F05"/>
    <w:rsid w:val="001B7EA8"/>
    <w:rsid w:val="001D0F15"/>
    <w:rsid w:val="001D72A8"/>
    <w:rsid w:val="001E0B25"/>
    <w:rsid w:val="001E36CF"/>
    <w:rsid w:val="001E52E7"/>
    <w:rsid w:val="001F0BCB"/>
    <w:rsid w:val="001F5FAC"/>
    <w:rsid w:val="00205B11"/>
    <w:rsid w:val="002102DD"/>
    <w:rsid w:val="002147BF"/>
    <w:rsid w:val="00215FB7"/>
    <w:rsid w:val="00216169"/>
    <w:rsid w:val="002165B6"/>
    <w:rsid w:val="002417BD"/>
    <w:rsid w:val="00245F8F"/>
    <w:rsid w:val="00254803"/>
    <w:rsid w:val="0025495C"/>
    <w:rsid w:val="00257061"/>
    <w:rsid w:val="0026491E"/>
    <w:rsid w:val="002726C1"/>
    <w:rsid w:val="00274B1B"/>
    <w:rsid w:val="002752D7"/>
    <w:rsid w:val="002827E0"/>
    <w:rsid w:val="0028438C"/>
    <w:rsid w:val="00287D09"/>
    <w:rsid w:val="002904D7"/>
    <w:rsid w:val="0029114B"/>
    <w:rsid w:val="00292F0A"/>
    <w:rsid w:val="00293B79"/>
    <w:rsid w:val="00297740"/>
    <w:rsid w:val="002A06E3"/>
    <w:rsid w:val="002A7B2E"/>
    <w:rsid w:val="002B3B45"/>
    <w:rsid w:val="002B436A"/>
    <w:rsid w:val="002C1C27"/>
    <w:rsid w:val="002C2C16"/>
    <w:rsid w:val="002D4425"/>
    <w:rsid w:val="002D67AA"/>
    <w:rsid w:val="002D6D2D"/>
    <w:rsid w:val="002F4CEF"/>
    <w:rsid w:val="002F7AA1"/>
    <w:rsid w:val="00300AFB"/>
    <w:rsid w:val="00301DCE"/>
    <w:rsid w:val="003063C8"/>
    <w:rsid w:val="003132E7"/>
    <w:rsid w:val="00313976"/>
    <w:rsid w:val="003147CE"/>
    <w:rsid w:val="003170B0"/>
    <w:rsid w:val="00333A20"/>
    <w:rsid w:val="0034007F"/>
    <w:rsid w:val="0034777C"/>
    <w:rsid w:val="00356D07"/>
    <w:rsid w:val="003629D5"/>
    <w:rsid w:val="00365963"/>
    <w:rsid w:val="0037109D"/>
    <w:rsid w:val="003775BD"/>
    <w:rsid w:val="00377827"/>
    <w:rsid w:val="00380EC4"/>
    <w:rsid w:val="0038186C"/>
    <w:rsid w:val="003931A0"/>
    <w:rsid w:val="00393794"/>
    <w:rsid w:val="003A6C1A"/>
    <w:rsid w:val="003B2FCD"/>
    <w:rsid w:val="003B56D1"/>
    <w:rsid w:val="003B7507"/>
    <w:rsid w:val="003C5934"/>
    <w:rsid w:val="003D3F00"/>
    <w:rsid w:val="003E1552"/>
    <w:rsid w:val="003E3E67"/>
    <w:rsid w:val="003E6984"/>
    <w:rsid w:val="003F72FE"/>
    <w:rsid w:val="00401B50"/>
    <w:rsid w:val="00403284"/>
    <w:rsid w:val="00405B66"/>
    <w:rsid w:val="00411887"/>
    <w:rsid w:val="004240D0"/>
    <w:rsid w:val="00425354"/>
    <w:rsid w:val="004270E2"/>
    <w:rsid w:val="004331DA"/>
    <w:rsid w:val="0043377F"/>
    <w:rsid w:val="00436FCE"/>
    <w:rsid w:val="004370AD"/>
    <w:rsid w:val="00440F49"/>
    <w:rsid w:val="00446840"/>
    <w:rsid w:val="0045265B"/>
    <w:rsid w:val="00455857"/>
    <w:rsid w:val="00462E75"/>
    <w:rsid w:val="00475EAE"/>
    <w:rsid w:val="00476549"/>
    <w:rsid w:val="00476D76"/>
    <w:rsid w:val="00480FB6"/>
    <w:rsid w:val="004860C3"/>
    <w:rsid w:val="004918A2"/>
    <w:rsid w:val="00494365"/>
    <w:rsid w:val="004A0EFA"/>
    <w:rsid w:val="004A5972"/>
    <w:rsid w:val="004A6AD2"/>
    <w:rsid w:val="004C1CDE"/>
    <w:rsid w:val="004C3856"/>
    <w:rsid w:val="004C4793"/>
    <w:rsid w:val="004D752D"/>
    <w:rsid w:val="004E10FF"/>
    <w:rsid w:val="004E3078"/>
    <w:rsid w:val="00500339"/>
    <w:rsid w:val="00501B1D"/>
    <w:rsid w:val="00503DEF"/>
    <w:rsid w:val="00506314"/>
    <w:rsid w:val="00506374"/>
    <w:rsid w:val="005132F2"/>
    <w:rsid w:val="0051776C"/>
    <w:rsid w:val="0052599C"/>
    <w:rsid w:val="0054016F"/>
    <w:rsid w:val="00540ADD"/>
    <w:rsid w:val="005427EE"/>
    <w:rsid w:val="005513DD"/>
    <w:rsid w:val="00553364"/>
    <w:rsid w:val="005678E3"/>
    <w:rsid w:val="00570AA2"/>
    <w:rsid w:val="00575D31"/>
    <w:rsid w:val="005771FF"/>
    <w:rsid w:val="00582B4E"/>
    <w:rsid w:val="005910F0"/>
    <w:rsid w:val="005952E9"/>
    <w:rsid w:val="005A0755"/>
    <w:rsid w:val="005A2959"/>
    <w:rsid w:val="005A5959"/>
    <w:rsid w:val="005A7583"/>
    <w:rsid w:val="005A7A58"/>
    <w:rsid w:val="005B7A73"/>
    <w:rsid w:val="005C5A12"/>
    <w:rsid w:val="005C73E3"/>
    <w:rsid w:val="005D3C63"/>
    <w:rsid w:val="005D6C3B"/>
    <w:rsid w:val="005E2AD0"/>
    <w:rsid w:val="005E6F91"/>
    <w:rsid w:val="005E7936"/>
    <w:rsid w:val="005E7A61"/>
    <w:rsid w:val="00610454"/>
    <w:rsid w:val="00611770"/>
    <w:rsid w:val="00611C00"/>
    <w:rsid w:val="00613865"/>
    <w:rsid w:val="0062486D"/>
    <w:rsid w:val="006340BB"/>
    <w:rsid w:val="006366DA"/>
    <w:rsid w:val="006379B6"/>
    <w:rsid w:val="00661587"/>
    <w:rsid w:val="00665F1F"/>
    <w:rsid w:val="00680496"/>
    <w:rsid w:val="0068200D"/>
    <w:rsid w:val="00686E00"/>
    <w:rsid w:val="006925BD"/>
    <w:rsid w:val="00692F55"/>
    <w:rsid w:val="006A0D45"/>
    <w:rsid w:val="006A2839"/>
    <w:rsid w:val="006A5890"/>
    <w:rsid w:val="006B04B3"/>
    <w:rsid w:val="006B561E"/>
    <w:rsid w:val="006B5D77"/>
    <w:rsid w:val="006C09C2"/>
    <w:rsid w:val="006D130D"/>
    <w:rsid w:val="006D1D9E"/>
    <w:rsid w:val="006E2C41"/>
    <w:rsid w:val="007008B2"/>
    <w:rsid w:val="00700CFF"/>
    <w:rsid w:val="00703565"/>
    <w:rsid w:val="00704B21"/>
    <w:rsid w:val="0070540C"/>
    <w:rsid w:val="007124AE"/>
    <w:rsid w:val="00720C69"/>
    <w:rsid w:val="00724D79"/>
    <w:rsid w:val="00735F9B"/>
    <w:rsid w:val="00737281"/>
    <w:rsid w:val="0075249A"/>
    <w:rsid w:val="00754FA1"/>
    <w:rsid w:val="00757478"/>
    <w:rsid w:val="007575E1"/>
    <w:rsid w:val="0077047B"/>
    <w:rsid w:val="00773395"/>
    <w:rsid w:val="007818F6"/>
    <w:rsid w:val="00781C70"/>
    <w:rsid w:val="0079118E"/>
    <w:rsid w:val="007A2B59"/>
    <w:rsid w:val="007A2B9A"/>
    <w:rsid w:val="007B06E2"/>
    <w:rsid w:val="007B16BF"/>
    <w:rsid w:val="007C36C7"/>
    <w:rsid w:val="007C3A41"/>
    <w:rsid w:val="007C6431"/>
    <w:rsid w:val="007D14AE"/>
    <w:rsid w:val="007E2CD5"/>
    <w:rsid w:val="007E4E8C"/>
    <w:rsid w:val="007E760D"/>
    <w:rsid w:val="007F695A"/>
    <w:rsid w:val="00804F75"/>
    <w:rsid w:val="00811A98"/>
    <w:rsid w:val="00821873"/>
    <w:rsid w:val="00833BB1"/>
    <w:rsid w:val="00836D7C"/>
    <w:rsid w:val="00836E1E"/>
    <w:rsid w:val="00840265"/>
    <w:rsid w:val="00841AD3"/>
    <w:rsid w:val="0084349E"/>
    <w:rsid w:val="00845B60"/>
    <w:rsid w:val="008466BD"/>
    <w:rsid w:val="00851B72"/>
    <w:rsid w:val="00866C8E"/>
    <w:rsid w:val="00871F15"/>
    <w:rsid w:val="00881613"/>
    <w:rsid w:val="008824E6"/>
    <w:rsid w:val="0089033E"/>
    <w:rsid w:val="00892BBC"/>
    <w:rsid w:val="008B1012"/>
    <w:rsid w:val="008B79D0"/>
    <w:rsid w:val="008C27E4"/>
    <w:rsid w:val="008C28BA"/>
    <w:rsid w:val="008D13DE"/>
    <w:rsid w:val="008D1C75"/>
    <w:rsid w:val="008E7169"/>
    <w:rsid w:val="008E74EF"/>
    <w:rsid w:val="00901B7E"/>
    <w:rsid w:val="00906D37"/>
    <w:rsid w:val="00907A4E"/>
    <w:rsid w:val="00910E39"/>
    <w:rsid w:val="00912D80"/>
    <w:rsid w:val="00912E48"/>
    <w:rsid w:val="009277A8"/>
    <w:rsid w:val="0093423E"/>
    <w:rsid w:val="009408CC"/>
    <w:rsid w:val="00940A88"/>
    <w:rsid w:val="00943E5B"/>
    <w:rsid w:val="00957620"/>
    <w:rsid w:val="00957C55"/>
    <w:rsid w:val="0096286E"/>
    <w:rsid w:val="00977A70"/>
    <w:rsid w:val="0098009F"/>
    <w:rsid w:val="009852DA"/>
    <w:rsid w:val="0098535E"/>
    <w:rsid w:val="009A6324"/>
    <w:rsid w:val="009A6696"/>
    <w:rsid w:val="009A74CE"/>
    <w:rsid w:val="009B07A4"/>
    <w:rsid w:val="009B0886"/>
    <w:rsid w:val="009B0FE2"/>
    <w:rsid w:val="009B3FE7"/>
    <w:rsid w:val="009B453D"/>
    <w:rsid w:val="009B5B1E"/>
    <w:rsid w:val="009B74AE"/>
    <w:rsid w:val="009C6189"/>
    <w:rsid w:val="009C7A8E"/>
    <w:rsid w:val="009D069B"/>
    <w:rsid w:val="009D3C21"/>
    <w:rsid w:val="009D4892"/>
    <w:rsid w:val="009F11E7"/>
    <w:rsid w:val="009F7C30"/>
    <w:rsid w:val="00A0246C"/>
    <w:rsid w:val="00A20C9E"/>
    <w:rsid w:val="00A215E6"/>
    <w:rsid w:val="00A231AA"/>
    <w:rsid w:val="00A254D1"/>
    <w:rsid w:val="00A303F9"/>
    <w:rsid w:val="00A338AB"/>
    <w:rsid w:val="00A4119B"/>
    <w:rsid w:val="00A4398B"/>
    <w:rsid w:val="00A45762"/>
    <w:rsid w:val="00A478A6"/>
    <w:rsid w:val="00A504FF"/>
    <w:rsid w:val="00A51B34"/>
    <w:rsid w:val="00A54ADF"/>
    <w:rsid w:val="00A76CF9"/>
    <w:rsid w:val="00A80B9C"/>
    <w:rsid w:val="00A81892"/>
    <w:rsid w:val="00A81F8E"/>
    <w:rsid w:val="00A84D51"/>
    <w:rsid w:val="00A86317"/>
    <w:rsid w:val="00A878B0"/>
    <w:rsid w:val="00A97392"/>
    <w:rsid w:val="00AB03E8"/>
    <w:rsid w:val="00AB04E1"/>
    <w:rsid w:val="00AB1F12"/>
    <w:rsid w:val="00AB473E"/>
    <w:rsid w:val="00AB4A7E"/>
    <w:rsid w:val="00AB6699"/>
    <w:rsid w:val="00AC2675"/>
    <w:rsid w:val="00AC3D8D"/>
    <w:rsid w:val="00AD125D"/>
    <w:rsid w:val="00AD68B2"/>
    <w:rsid w:val="00AE120F"/>
    <w:rsid w:val="00AE4856"/>
    <w:rsid w:val="00AE7A3F"/>
    <w:rsid w:val="00AF0633"/>
    <w:rsid w:val="00B201D4"/>
    <w:rsid w:val="00B230DB"/>
    <w:rsid w:val="00B3771D"/>
    <w:rsid w:val="00B42005"/>
    <w:rsid w:val="00B4672F"/>
    <w:rsid w:val="00B574C3"/>
    <w:rsid w:val="00B72A5F"/>
    <w:rsid w:val="00B7552A"/>
    <w:rsid w:val="00B75ECE"/>
    <w:rsid w:val="00B93F13"/>
    <w:rsid w:val="00B95089"/>
    <w:rsid w:val="00B95F69"/>
    <w:rsid w:val="00BA3269"/>
    <w:rsid w:val="00BB70AA"/>
    <w:rsid w:val="00BC0ABC"/>
    <w:rsid w:val="00BE3EB2"/>
    <w:rsid w:val="00BE477E"/>
    <w:rsid w:val="00BF5652"/>
    <w:rsid w:val="00C04562"/>
    <w:rsid w:val="00C14B24"/>
    <w:rsid w:val="00C24848"/>
    <w:rsid w:val="00C252E4"/>
    <w:rsid w:val="00C26416"/>
    <w:rsid w:val="00C32123"/>
    <w:rsid w:val="00C44044"/>
    <w:rsid w:val="00C52956"/>
    <w:rsid w:val="00C54DB6"/>
    <w:rsid w:val="00C566D3"/>
    <w:rsid w:val="00C575EA"/>
    <w:rsid w:val="00C66F18"/>
    <w:rsid w:val="00C762C4"/>
    <w:rsid w:val="00C84B52"/>
    <w:rsid w:val="00C85F0B"/>
    <w:rsid w:val="00C86166"/>
    <w:rsid w:val="00C86C3E"/>
    <w:rsid w:val="00C953BE"/>
    <w:rsid w:val="00CA5934"/>
    <w:rsid w:val="00CC2AD9"/>
    <w:rsid w:val="00CD4E3A"/>
    <w:rsid w:val="00CE091F"/>
    <w:rsid w:val="00CE57C7"/>
    <w:rsid w:val="00CE67C9"/>
    <w:rsid w:val="00CE7BD1"/>
    <w:rsid w:val="00CF2B3F"/>
    <w:rsid w:val="00D028B1"/>
    <w:rsid w:val="00D033BB"/>
    <w:rsid w:val="00D12629"/>
    <w:rsid w:val="00D13FF1"/>
    <w:rsid w:val="00D41DB5"/>
    <w:rsid w:val="00D44497"/>
    <w:rsid w:val="00D45299"/>
    <w:rsid w:val="00D45EA9"/>
    <w:rsid w:val="00D46033"/>
    <w:rsid w:val="00D531EC"/>
    <w:rsid w:val="00D634B2"/>
    <w:rsid w:val="00D67500"/>
    <w:rsid w:val="00D67B3E"/>
    <w:rsid w:val="00D74B4F"/>
    <w:rsid w:val="00D75112"/>
    <w:rsid w:val="00D762DC"/>
    <w:rsid w:val="00D83547"/>
    <w:rsid w:val="00D83DC4"/>
    <w:rsid w:val="00D8434A"/>
    <w:rsid w:val="00D87E4F"/>
    <w:rsid w:val="00D96257"/>
    <w:rsid w:val="00D97B75"/>
    <w:rsid w:val="00DA5D34"/>
    <w:rsid w:val="00DA6209"/>
    <w:rsid w:val="00DB106F"/>
    <w:rsid w:val="00DB37E4"/>
    <w:rsid w:val="00DC1AA9"/>
    <w:rsid w:val="00DD1199"/>
    <w:rsid w:val="00DD1DC3"/>
    <w:rsid w:val="00DD2C96"/>
    <w:rsid w:val="00DE03F3"/>
    <w:rsid w:val="00DF1378"/>
    <w:rsid w:val="00E1150D"/>
    <w:rsid w:val="00E11B30"/>
    <w:rsid w:val="00E17322"/>
    <w:rsid w:val="00E2333B"/>
    <w:rsid w:val="00E235F8"/>
    <w:rsid w:val="00E32155"/>
    <w:rsid w:val="00E358AF"/>
    <w:rsid w:val="00E47E9E"/>
    <w:rsid w:val="00E50EB5"/>
    <w:rsid w:val="00E52D26"/>
    <w:rsid w:val="00E53595"/>
    <w:rsid w:val="00E63BD0"/>
    <w:rsid w:val="00E64081"/>
    <w:rsid w:val="00E65EDA"/>
    <w:rsid w:val="00E662F7"/>
    <w:rsid w:val="00E72968"/>
    <w:rsid w:val="00E74A38"/>
    <w:rsid w:val="00E836B7"/>
    <w:rsid w:val="00E908EA"/>
    <w:rsid w:val="00EB3211"/>
    <w:rsid w:val="00EB5276"/>
    <w:rsid w:val="00EC2EEA"/>
    <w:rsid w:val="00ED370D"/>
    <w:rsid w:val="00ED6AD5"/>
    <w:rsid w:val="00EE4C9E"/>
    <w:rsid w:val="00EE5AB0"/>
    <w:rsid w:val="00EE7011"/>
    <w:rsid w:val="00EF4001"/>
    <w:rsid w:val="00F02D9E"/>
    <w:rsid w:val="00F078B8"/>
    <w:rsid w:val="00F24B40"/>
    <w:rsid w:val="00F26ECF"/>
    <w:rsid w:val="00F30870"/>
    <w:rsid w:val="00F33D1C"/>
    <w:rsid w:val="00F34A1C"/>
    <w:rsid w:val="00F511FF"/>
    <w:rsid w:val="00F602BB"/>
    <w:rsid w:val="00F6147A"/>
    <w:rsid w:val="00F639AB"/>
    <w:rsid w:val="00F70779"/>
    <w:rsid w:val="00F74EDA"/>
    <w:rsid w:val="00F778E7"/>
    <w:rsid w:val="00F80620"/>
    <w:rsid w:val="00F8289B"/>
    <w:rsid w:val="00F85753"/>
    <w:rsid w:val="00F9080A"/>
    <w:rsid w:val="00F9238F"/>
    <w:rsid w:val="00F95658"/>
    <w:rsid w:val="00F96B28"/>
    <w:rsid w:val="00F9728E"/>
    <w:rsid w:val="00FA17A3"/>
    <w:rsid w:val="00FB0586"/>
    <w:rsid w:val="00FB6C53"/>
    <w:rsid w:val="00FB6E34"/>
    <w:rsid w:val="00FB70F4"/>
    <w:rsid w:val="00FC0002"/>
    <w:rsid w:val="00FC2AFB"/>
    <w:rsid w:val="00FC442F"/>
    <w:rsid w:val="00FC670E"/>
    <w:rsid w:val="00FD3BD0"/>
    <w:rsid w:val="00FD73B2"/>
    <w:rsid w:val="00FE0813"/>
    <w:rsid w:val="00FE18E6"/>
    <w:rsid w:val="00FE6AA7"/>
    <w:rsid w:val="00FE7ED0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336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B6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65B6"/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165B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65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5B6"/>
    <w:pPr>
      <w:ind w:left="720"/>
    </w:pPr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2165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B6"/>
    <w:rPr>
      <w:rFonts w:ascii="Arial" w:hAnsi="Arial"/>
      <w:sz w:val="20"/>
      <w:lang w:val="fr-CH"/>
    </w:rPr>
  </w:style>
  <w:style w:type="paragraph" w:customStyle="1" w:styleId="Default">
    <w:name w:val="Default"/>
    <w:rsid w:val="002165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AA"/>
    <w:rPr>
      <w:rFonts w:ascii="Arial" w:hAnsi="Arial"/>
      <w:sz w:val="20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6"/>
    <w:rPr>
      <w:rFonts w:ascii="Segoe UI" w:hAnsi="Segoe UI" w:cs="Segoe UI"/>
      <w:sz w:val="18"/>
      <w:szCs w:val="18"/>
      <w:lang w:val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9B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4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4AE"/>
    <w:rPr>
      <w:rFonts w:ascii="Arial" w:hAnsi="Arial"/>
      <w:sz w:val="20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AE"/>
    <w:rPr>
      <w:rFonts w:ascii="Arial" w:hAnsi="Arial"/>
      <w:b/>
      <w:bCs/>
      <w:sz w:val="20"/>
      <w:szCs w:val="20"/>
      <w:lang w:val="fr-CH"/>
    </w:rPr>
  </w:style>
  <w:style w:type="character" w:styleId="Emphasis">
    <w:name w:val="Emphasis"/>
    <w:basedOn w:val="DefaultParagraphFont"/>
    <w:uiPriority w:val="20"/>
    <w:qFormat/>
    <w:rsid w:val="009277A8"/>
    <w:rPr>
      <w:i/>
      <w:iCs/>
    </w:rPr>
  </w:style>
  <w:style w:type="character" w:customStyle="1" w:styleId="period">
    <w:name w:val="period"/>
    <w:basedOn w:val="DefaultParagraphFont"/>
    <w:rsid w:val="009B0FE2"/>
  </w:style>
  <w:style w:type="character" w:customStyle="1" w:styleId="cit">
    <w:name w:val="cit"/>
    <w:basedOn w:val="DefaultParagraphFont"/>
    <w:rsid w:val="009B0FE2"/>
  </w:style>
  <w:style w:type="paragraph" w:styleId="Revision">
    <w:name w:val="Revision"/>
    <w:hidden/>
    <w:uiPriority w:val="99"/>
    <w:semiHidden/>
    <w:rsid w:val="0038186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3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0971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37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38372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C03955EC114E88C15DD8AA7B6135" ma:contentTypeVersion="9" ma:contentTypeDescription="Create a new document." ma:contentTypeScope="" ma:versionID="9fca5634049ec333b0bd6f1443660424">
  <xsd:schema xmlns:xsd="http://www.w3.org/2001/XMLSchema" xmlns:xs="http://www.w3.org/2001/XMLSchema" xmlns:p="http://schemas.microsoft.com/office/2006/metadata/properties" xmlns:ns3="44a56295-c29e-4898-8136-a54736c65b82" xmlns:ns4="8b3b32e6-e347-4b09-bf1e-d24e695c96ac" targetNamespace="http://schemas.microsoft.com/office/2006/metadata/properties" ma:root="true" ma:fieldsID="9a5c5599d79ba79162ef90fe162df005" ns3:_="" ns4:_="">
    <xsd:import namespace="44a56295-c29e-4898-8136-a54736c65b82"/>
    <xsd:import namespace="8b3b32e6-e347-4b09-bf1e-d24e695c96ac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32e6-e347-4b09-bf1e-d24e695c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1ee89e71-04cd-405e-9ca3-99e020c1694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13415-E5A9-4BF0-9B14-8D1E459B4E41}">
  <ds:schemaRefs>
    <ds:schemaRef ds:uri="8b3b32e6-e347-4b09-bf1e-d24e695c96ac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4a56295-c29e-4898-8136-a54736c65b8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7C753E-5E27-42A3-9C7F-19410404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8b3b32e6-e347-4b09-bf1e-d24e695c9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11E52-D30E-4720-8F0A-DD80B8E388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132A91-62C8-45FC-9DCD-843E10AD20B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68D2EB-272E-43B4-9F70-501DB4FFD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2025-04-08T05:44:00Z</dcterms:created>
  <dcterms:modified xsi:type="dcterms:W3CDTF">2025-04-08T05:44:00Z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0x010100B132C03955EC114E88C15DD8AA7B6135</vt:lpwstr>
  </property>
</Properties>
</file>